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4D11D201" w:rsidR="000A134A" w:rsidRPr="001C1E47" w:rsidRDefault="002511E9" w:rsidP="00C616F5">
      <w:pPr>
        <w:pStyle w:val="Heading1"/>
      </w:pPr>
      <w:bookmarkStart w:id="0" w:name="_Toc118900169"/>
      <w:bookmarkStart w:id="1" w:name="_Toc118905008"/>
      <w:r w:rsidRPr="001C1E47">
        <w:rPr>
          <w:iCs/>
        </w:rPr>
        <w:t>FY 2</w:t>
      </w:r>
      <w:r w:rsidR="00BD0358">
        <w:rPr>
          <w:iCs/>
        </w:rPr>
        <w:t>0</w:t>
      </w:r>
      <w:r w:rsidR="00D35793">
        <w:rPr>
          <w:iCs/>
        </w:rPr>
        <w:t>24</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61F6BBD2" w14:textId="77777777" w:rsidR="000A134A" w:rsidRPr="001C1E47" w:rsidRDefault="000A134A" w:rsidP="0061177B">
      <w:pPr>
        <w:widowControl/>
        <w:autoSpaceDE/>
        <w:autoSpaceDN/>
        <w:adjustRightInd/>
        <w:rPr>
          <w:rFonts w:cs="Calibri"/>
          <w:b/>
        </w:rPr>
      </w:pPr>
    </w:p>
    <w:p w14:paraId="7A4133D3" w14:textId="77777777" w:rsidR="00D35793" w:rsidRDefault="00D35793" w:rsidP="00D35793">
      <w:pPr>
        <w:tabs>
          <w:tab w:val="center" w:pos="4680"/>
        </w:tabs>
        <w:jc w:val="center"/>
        <w:rPr>
          <w:b/>
          <w:bCs/>
        </w:rPr>
      </w:pPr>
      <w:r>
        <w:rPr>
          <w:b/>
          <w:bCs/>
        </w:rPr>
        <w:t>NORTH CAROLINA DEPARTMENT OF LABOR OCCUPATIONAL SAFETY AND HEALTH DIVISION</w:t>
      </w:r>
    </w:p>
    <w:p w14:paraId="326E0D94" w14:textId="77777777" w:rsidR="00D35793" w:rsidRPr="00DF1E7A" w:rsidRDefault="00D35793" w:rsidP="00D35793">
      <w:pPr>
        <w:jc w:val="center"/>
        <w:rPr>
          <w:bCs/>
        </w:rPr>
      </w:pPr>
    </w:p>
    <w:p w14:paraId="430BBE35" w14:textId="77777777" w:rsidR="00D35793" w:rsidRPr="00DF1E7A" w:rsidRDefault="00D35793" w:rsidP="00D35793">
      <w:pPr>
        <w:jc w:val="center"/>
        <w:rPr>
          <w:bCs/>
        </w:rPr>
      </w:pPr>
    </w:p>
    <w:p w14:paraId="348CD01F" w14:textId="77777777" w:rsidR="00D35793" w:rsidRPr="00DF1E7A" w:rsidRDefault="00D35793" w:rsidP="00D35793">
      <w:pPr>
        <w:jc w:val="center"/>
        <w:rPr>
          <w:bCs/>
        </w:rPr>
      </w:pPr>
      <w:r>
        <w:rPr>
          <w:noProof/>
        </w:rPr>
        <w:drawing>
          <wp:inline distT="0" distB="0" distL="0" distR="0" wp14:anchorId="27279B79" wp14:editId="358444A7">
            <wp:extent cx="3533775" cy="1553210"/>
            <wp:effectExtent l="0" t="0" r="9525" b="8890"/>
            <wp:docPr id="2" name="Picture 2" descr="ncdol_logo"/>
            <wp:cNvGraphicFramePr/>
            <a:graphic xmlns:a="http://schemas.openxmlformats.org/drawingml/2006/main">
              <a:graphicData uri="http://schemas.openxmlformats.org/drawingml/2006/picture">
                <pic:pic xmlns:pic="http://schemas.openxmlformats.org/drawingml/2006/picture">
                  <pic:nvPicPr>
                    <pic:cNvPr id="3" name="Picture 3" descr="ncdol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775" cy="1553210"/>
                    </a:xfrm>
                    <a:prstGeom prst="rect">
                      <a:avLst/>
                    </a:prstGeom>
                    <a:noFill/>
                    <a:ln>
                      <a:noFill/>
                    </a:ln>
                  </pic:spPr>
                </pic:pic>
              </a:graphicData>
            </a:graphic>
          </wp:inline>
        </w:drawing>
      </w:r>
    </w:p>
    <w:p w14:paraId="1918F913" w14:textId="77777777" w:rsidR="00D35793" w:rsidRPr="001C1E47" w:rsidRDefault="00D35793" w:rsidP="00D35793">
      <w:pPr>
        <w:widowControl/>
        <w:autoSpaceDE/>
        <w:autoSpaceDN/>
        <w:adjustRightInd/>
        <w:rPr>
          <w:rFonts w:cs="Calibri"/>
          <w:b/>
        </w:rPr>
      </w:pPr>
    </w:p>
    <w:p w14:paraId="6E181023" w14:textId="77777777" w:rsidR="00D35793" w:rsidRDefault="00D35793" w:rsidP="00D35793">
      <w:pPr>
        <w:widowControl/>
        <w:tabs>
          <w:tab w:val="left" w:pos="720"/>
          <w:tab w:val="left" w:pos="1440"/>
          <w:tab w:val="left" w:pos="2160"/>
        </w:tabs>
        <w:autoSpaceDE/>
        <w:autoSpaceDN/>
        <w:adjustRightInd/>
        <w:jc w:val="center"/>
        <w:rPr>
          <w:rFonts w:eastAsia="Batang" w:cs="Calibri"/>
          <w:b/>
          <w:sz w:val="28"/>
          <w:szCs w:val="28"/>
        </w:rPr>
      </w:pPr>
    </w:p>
    <w:p w14:paraId="2C2FFE6F" w14:textId="638C99C3" w:rsidR="00D35793" w:rsidRPr="001C1E47" w:rsidRDefault="00D35793" w:rsidP="00D35793">
      <w:pPr>
        <w:widowControl/>
        <w:tabs>
          <w:tab w:val="left" w:pos="720"/>
          <w:tab w:val="left" w:pos="1440"/>
          <w:tab w:val="left" w:pos="2160"/>
        </w:tabs>
        <w:autoSpaceDE/>
        <w:autoSpaceDN/>
        <w:adjustRightInd/>
        <w:jc w:val="center"/>
        <w:rPr>
          <w:rFonts w:eastAsia="Batang" w:cs="Calibri"/>
          <w:b/>
          <w:sz w:val="28"/>
          <w:szCs w:val="28"/>
        </w:rPr>
      </w:pPr>
      <w:r w:rsidRPr="001C1E47">
        <w:rPr>
          <w:rFonts w:eastAsia="Batang" w:cs="Calibri"/>
          <w:b/>
          <w:sz w:val="28"/>
          <w:szCs w:val="28"/>
        </w:rPr>
        <w:t>Evaluation Period: October 1, 202</w:t>
      </w:r>
      <w:r>
        <w:rPr>
          <w:rFonts w:eastAsia="Batang" w:cs="Calibri"/>
          <w:b/>
          <w:sz w:val="28"/>
          <w:szCs w:val="28"/>
        </w:rPr>
        <w:t>3</w:t>
      </w:r>
      <w:r w:rsidRPr="001C1E47">
        <w:rPr>
          <w:rFonts w:eastAsia="Batang" w:cs="Calibri"/>
          <w:b/>
          <w:sz w:val="28"/>
          <w:szCs w:val="28"/>
        </w:rPr>
        <w:t xml:space="preserve"> – September 30, 202</w:t>
      </w:r>
      <w:r>
        <w:rPr>
          <w:rFonts w:eastAsia="Batang" w:cs="Calibri"/>
          <w:b/>
          <w:sz w:val="28"/>
          <w:szCs w:val="28"/>
        </w:rPr>
        <w:t>4</w:t>
      </w:r>
    </w:p>
    <w:p w14:paraId="4840BB92" w14:textId="77777777" w:rsidR="00D35793" w:rsidRPr="001C1E47" w:rsidRDefault="00D35793" w:rsidP="00D35793">
      <w:pPr>
        <w:widowControl/>
        <w:autoSpaceDE/>
        <w:autoSpaceDN/>
        <w:adjustRightInd/>
        <w:jc w:val="center"/>
        <w:rPr>
          <w:rFonts w:cs="Calibri"/>
        </w:rPr>
      </w:pPr>
    </w:p>
    <w:p w14:paraId="7668A24F" w14:textId="77777777" w:rsidR="00D35793" w:rsidRDefault="00D35793" w:rsidP="00D35793">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51700FE2" w14:textId="77777777" w:rsidR="00D35793" w:rsidRDefault="00D35793" w:rsidP="00D35793">
      <w:pPr>
        <w:tabs>
          <w:tab w:val="center" w:pos="4680"/>
        </w:tabs>
        <w:jc w:val="center"/>
        <w:rPr>
          <w:b/>
          <w:bCs/>
        </w:rPr>
      </w:pPr>
      <w:r>
        <w:rPr>
          <w:rFonts w:eastAsia="Batang"/>
          <w:b/>
        </w:rPr>
        <w:t>Initial Approval Date:  January 26, 1973</w:t>
      </w:r>
    </w:p>
    <w:p w14:paraId="531E3BF3" w14:textId="77777777" w:rsidR="00D35793" w:rsidRDefault="00D35793" w:rsidP="00D35793">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rFonts w:eastAsia="Batang"/>
          <w:b/>
        </w:rPr>
        <w:t xml:space="preserve"> Program Certification Date:  October 5, 1976</w:t>
      </w:r>
    </w:p>
    <w:p w14:paraId="49EEB3DE" w14:textId="77777777" w:rsidR="00D35793" w:rsidRDefault="00D35793" w:rsidP="00D35793">
      <w:pPr>
        <w:tabs>
          <w:tab w:val="center" w:pos="4680"/>
        </w:tabs>
        <w:jc w:val="center"/>
        <w:rPr>
          <w:b/>
          <w:bCs/>
        </w:rPr>
      </w:pPr>
      <w:r>
        <w:rPr>
          <w:rFonts w:eastAsia="Batang"/>
          <w:b/>
        </w:rPr>
        <w:t xml:space="preserve">Final Approval Date:  </w:t>
      </w:r>
      <w:r>
        <w:rPr>
          <w:b/>
          <w:bCs/>
        </w:rPr>
        <w:t>December 10, 1996</w:t>
      </w:r>
    </w:p>
    <w:p w14:paraId="65771646" w14:textId="77777777" w:rsidR="00D35793" w:rsidRPr="00E25FA3" w:rsidRDefault="00D35793" w:rsidP="00D35793">
      <w:pPr>
        <w:jc w:val="center"/>
        <w:rPr>
          <w:b/>
          <w:bCs/>
        </w:rPr>
      </w:pPr>
    </w:p>
    <w:p w14:paraId="249E7856" w14:textId="77777777" w:rsidR="00D35793" w:rsidRPr="00E25FA3" w:rsidRDefault="00D35793" w:rsidP="00D35793">
      <w:pPr>
        <w:spacing w:line="19" w:lineRule="exact"/>
        <w:jc w:val="center"/>
      </w:pPr>
    </w:p>
    <w:p w14:paraId="6E7B4D36" w14:textId="77777777" w:rsidR="00D35793" w:rsidRPr="00E25FA3" w:rsidRDefault="00D35793" w:rsidP="00D35793">
      <w:pPr>
        <w:tabs>
          <w:tab w:val="right" w:pos="9720"/>
        </w:tabs>
        <w:jc w:val="center"/>
        <w:rPr>
          <w:b/>
          <w:bCs/>
        </w:rPr>
      </w:pPr>
    </w:p>
    <w:p w14:paraId="0B4E05E2" w14:textId="77777777" w:rsidR="00D35793" w:rsidRPr="00E25FA3" w:rsidRDefault="00D35793" w:rsidP="00D35793">
      <w:pPr>
        <w:jc w:val="center"/>
        <w:rPr>
          <w:i/>
        </w:rPr>
      </w:pPr>
    </w:p>
    <w:p w14:paraId="4B446CEB" w14:textId="77777777" w:rsidR="00D35793" w:rsidRPr="00AF0587" w:rsidRDefault="00D35793" w:rsidP="00D35793">
      <w:pPr>
        <w:jc w:val="center"/>
        <w:rPr>
          <w:b/>
        </w:rPr>
      </w:pPr>
      <w:r w:rsidRPr="00AF0587">
        <w:rPr>
          <w:b/>
        </w:rPr>
        <w:t>Prepared by:</w:t>
      </w:r>
    </w:p>
    <w:p w14:paraId="1B134798" w14:textId="77777777" w:rsidR="00D35793" w:rsidRPr="00AF0587" w:rsidRDefault="00D35793" w:rsidP="00D35793">
      <w:pPr>
        <w:jc w:val="center"/>
        <w:rPr>
          <w:b/>
        </w:rPr>
      </w:pPr>
      <w:r w:rsidRPr="00AF0587">
        <w:rPr>
          <w:b/>
        </w:rPr>
        <w:t xml:space="preserve">U. S. Department of Labor </w:t>
      </w:r>
    </w:p>
    <w:p w14:paraId="4DAE4BFD" w14:textId="77777777" w:rsidR="00D35793" w:rsidRPr="00AF0587" w:rsidRDefault="00D35793" w:rsidP="00D35793">
      <w:pPr>
        <w:jc w:val="center"/>
        <w:rPr>
          <w:b/>
        </w:rPr>
      </w:pPr>
      <w:r w:rsidRPr="00AF0587">
        <w:rPr>
          <w:b/>
        </w:rPr>
        <w:t>Occupational Safety and Health Administration</w:t>
      </w:r>
    </w:p>
    <w:p w14:paraId="32A60479" w14:textId="07977405" w:rsidR="00D35793" w:rsidRDefault="004B350A" w:rsidP="004B350A">
      <w:pPr>
        <w:tabs>
          <w:tab w:val="left" w:pos="2010"/>
          <w:tab w:val="center" w:pos="4770"/>
        </w:tabs>
        <w:rPr>
          <w:b/>
        </w:rPr>
      </w:pPr>
      <w:r>
        <w:rPr>
          <w:b/>
        </w:rPr>
        <w:tab/>
      </w:r>
      <w:r>
        <w:rPr>
          <w:b/>
        </w:rPr>
        <w:tab/>
      </w:r>
      <w:r w:rsidR="00D35793">
        <w:rPr>
          <w:b/>
        </w:rPr>
        <w:t>Atlanta Region</w:t>
      </w:r>
    </w:p>
    <w:p w14:paraId="15F94D47" w14:textId="77777777" w:rsidR="000A134A" w:rsidRDefault="000A134A" w:rsidP="007A71AC">
      <w:pPr>
        <w:widowControl/>
        <w:autoSpaceDE/>
        <w:autoSpaceDN/>
        <w:adjustRightInd/>
        <w:jc w:val="center"/>
        <w:rPr>
          <w:rFonts w:cs="Calibri"/>
          <w:b/>
        </w:rPr>
      </w:pPr>
    </w:p>
    <w:p w14:paraId="3E0B42E7" w14:textId="77777777" w:rsidR="00D35793" w:rsidRDefault="00D35793" w:rsidP="007A71AC">
      <w:pPr>
        <w:widowControl/>
        <w:autoSpaceDE/>
        <w:autoSpaceDN/>
        <w:adjustRightInd/>
        <w:jc w:val="center"/>
        <w:rPr>
          <w:rFonts w:cs="Calibri"/>
          <w:b/>
        </w:rPr>
      </w:pPr>
    </w:p>
    <w:p w14:paraId="4B835292" w14:textId="77777777" w:rsidR="00D35793" w:rsidRDefault="00D35793" w:rsidP="007A71AC">
      <w:pPr>
        <w:widowControl/>
        <w:autoSpaceDE/>
        <w:autoSpaceDN/>
        <w:adjustRightInd/>
        <w:jc w:val="center"/>
        <w:rPr>
          <w:rFonts w:cs="Calibri"/>
          <w:b/>
        </w:rPr>
      </w:pPr>
    </w:p>
    <w:p w14:paraId="2A63637C" w14:textId="77777777" w:rsidR="000A134A" w:rsidRDefault="000A134A" w:rsidP="007A71AC">
      <w:pPr>
        <w:widowControl/>
        <w:autoSpaceDE/>
        <w:autoSpaceDN/>
        <w:adjustRightInd/>
        <w:jc w:val="center"/>
        <w:rPr>
          <w:rFonts w:cs="Calibri"/>
          <w:b/>
        </w:rPr>
      </w:pPr>
    </w:p>
    <w:p w14:paraId="6E70DDA2" w14:textId="77777777" w:rsidR="00D35793" w:rsidRPr="001C1E47" w:rsidRDefault="00D35793"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53E64F1" w14:textId="7AF3827D" w:rsidR="002A6CAA" w:rsidRPr="00F43B23" w:rsidRDefault="00F43B23">
      <w:pPr>
        <w:widowControl/>
        <w:autoSpaceDE/>
        <w:autoSpaceDN/>
        <w:adjustRightInd/>
        <w:rPr>
          <w:rFonts w:cs="Calibri"/>
          <w:b/>
          <w:sz w:val="28"/>
          <w:szCs w:val="28"/>
        </w:rPr>
      </w:pPr>
      <w:r>
        <w:rPr>
          <w:rFonts w:cs="Calibri"/>
          <w:b/>
          <w:sz w:val="40"/>
          <w:szCs w:val="40"/>
        </w:rPr>
        <w:br w:type="page"/>
      </w:r>
      <w:r w:rsidRPr="00F43B23">
        <w:rPr>
          <w:rFonts w:cs="Calibri"/>
          <w:b/>
          <w:sz w:val="28"/>
          <w:szCs w:val="28"/>
        </w:rPr>
        <w:lastRenderedPageBreak/>
        <w:t>Table of Contents</w:t>
      </w:r>
    </w:p>
    <w:p w14:paraId="161B9969" w14:textId="7F39A697"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8E1EDF">
          <w:rPr>
            <w:noProof/>
            <w:webHidden/>
          </w:rPr>
          <w:t>3</w:t>
        </w:r>
        <w:r>
          <w:rPr>
            <w:noProof/>
            <w:webHidden/>
          </w:rPr>
          <w:fldChar w:fldCharType="end"/>
        </w:r>
      </w:hyperlink>
    </w:p>
    <w:p w14:paraId="3BD91ACD" w14:textId="0C4B0022" w:rsidR="000F63C1" w:rsidRDefault="000F63C1">
      <w:pPr>
        <w:pStyle w:val="TOC2"/>
        <w:tabs>
          <w:tab w:val="left" w:pos="480"/>
          <w:tab w:val="right" w:leader="dot" w:pos="9530"/>
        </w:tabs>
        <w:rPr>
          <w:rFonts w:eastAsiaTheme="minorEastAsia" w:cstheme="minorBidi"/>
          <w:b/>
          <w:bCs w:val="0"/>
          <w:noProof/>
          <w:sz w:val="22"/>
          <w:szCs w:val="22"/>
        </w:rPr>
      </w:pPr>
      <w:hyperlink w:anchor="_Toc119418664" w:history="1">
        <w:r w:rsidRPr="00B5463F">
          <w:rPr>
            <w:rStyle w:val="Hyperlink"/>
            <w:noProof/>
          </w:rPr>
          <w:t>II.</w:t>
        </w:r>
        <w:r>
          <w:rPr>
            <w:rFonts w:eastAsiaTheme="minorEastAsia" w:cstheme="minorBidi"/>
            <w:b/>
            <w:bCs w:val="0"/>
            <w:noProof/>
            <w:sz w:val="22"/>
            <w:szCs w:val="22"/>
          </w:rPr>
          <w:tab/>
        </w:r>
        <w:r w:rsidRPr="00B5463F">
          <w:rPr>
            <w:rStyle w:val="Hyperlink"/>
            <w:noProof/>
          </w:rPr>
          <w:t>State Plan Background</w:t>
        </w:r>
        <w:r>
          <w:rPr>
            <w:noProof/>
            <w:webHidden/>
          </w:rPr>
          <w:tab/>
        </w:r>
        <w:r>
          <w:rPr>
            <w:noProof/>
            <w:webHidden/>
          </w:rPr>
          <w:fldChar w:fldCharType="begin"/>
        </w:r>
        <w:r>
          <w:rPr>
            <w:noProof/>
            <w:webHidden/>
          </w:rPr>
          <w:instrText xml:space="preserve"> PAGEREF _Toc119418664 \h </w:instrText>
        </w:r>
        <w:r>
          <w:rPr>
            <w:noProof/>
            <w:webHidden/>
          </w:rPr>
        </w:r>
        <w:r>
          <w:rPr>
            <w:noProof/>
            <w:webHidden/>
          </w:rPr>
          <w:fldChar w:fldCharType="separate"/>
        </w:r>
        <w:r w:rsidR="008E1EDF">
          <w:rPr>
            <w:noProof/>
            <w:webHidden/>
          </w:rPr>
          <w:t>4</w:t>
        </w:r>
        <w:r>
          <w:rPr>
            <w:noProof/>
            <w:webHidden/>
          </w:rPr>
          <w:fldChar w:fldCharType="end"/>
        </w:r>
      </w:hyperlink>
    </w:p>
    <w:p w14:paraId="12E60A29" w14:textId="1CCD5CFD" w:rsidR="000F63C1" w:rsidRDefault="000F63C1">
      <w:pPr>
        <w:pStyle w:val="TOC2"/>
        <w:tabs>
          <w:tab w:val="left" w:pos="480"/>
          <w:tab w:val="right" w:leader="dot" w:pos="9530"/>
        </w:tabs>
        <w:rPr>
          <w:rFonts w:eastAsiaTheme="minorEastAsia" w:cstheme="minorBidi"/>
          <w:b/>
          <w:bCs w:val="0"/>
          <w:noProof/>
          <w:sz w:val="22"/>
          <w:szCs w:val="22"/>
        </w:rPr>
      </w:pPr>
      <w:hyperlink w:anchor="_Toc119418665" w:history="1">
        <w:r w:rsidRPr="00B5463F">
          <w:rPr>
            <w:rStyle w:val="Hyperlink"/>
            <w:noProof/>
          </w:rPr>
          <w:t>III.</w:t>
        </w:r>
        <w:r>
          <w:rPr>
            <w:rFonts w:eastAsiaTheme="minorEastAsia" w:cstheme="minorBidi"/>
            <w:b/>
            <w:bCs w:val="0"/>
            <w:noProof/>
            <w:sz w:val="22"/>
            <w:szCs w:val="22"/>
          </w:rPr>
          <w:tab/>
        </w:r>
        <w:r w:rsidRPr="00B5463F">
          <w:rPr>
            <w:rStyle w:val="Hyperlink"/>
            <w:noProof/>
          </w:rPr>
          <w:t>Assessment of State Plan Progress and Performance</w:t>
        </w:r>
        <w:r>
          <w:rPr>
            <w:noProof/>
            <w:webHidden/>
          </w:rPr>
          <w:tab/>
        </w:r>
        <w:r>
          <w:rPr>
            <w:noProof/>
            <w:webHidden/>
          </w:rPr>
          <w:fldChar w:fldCharType="begin"/>
        </w:r>
        <w:r>
          <w:rPr>
            <w:noProof/>
            <w:webHidden/>
          </w:rPr>
          <w:instrText xml:space="preserve"> PAGEREF _Toc119418665 \h </w:instrText>
        </w:r>
        <w:r>
          <w:rPr>
            <w:noProof/>
            <w:webHidden/>
          </w:rPr>
        </w:r>
        <w:r>
          <w:rPr>
            <w:noProof/>
            <w:webHidden/>
          </w:rPr>
          <w:fldChar w:fldCharType="separate"/>
        </w:r>
        <w:r w:rsidR="008E1EDF">
          <w:rPr>
            <w:noProof/>
            <w:webHidden/>
          </w:rPr>
          <w:t>5</w:t>
        </w:r>
        <w:r>
          <w:rPr>
            <w:noProof/>
            <w:webHidden/>
          </w:rPr>
          <w:fldChar w:fldCharType="end"/>
        </w:r>
      </w:hyperlink>
    </w:p>
    <w:p w14:paraId="1E2078A6" w14:textId="60AAAD78" w:rsidR="000F63C1" w:rsidRDefault="000F63C1">
      <w:pPr>
        <w:pStyle w:val="TOC3"/>
        <w:tabs>
          <w:tab w:val="left" w:pos="720"/>
          <w:tab w:val="right" w:leader="dot" w:pos="9530"/>
        </w:tabs>
        <w:rPr>
          <w:rFonts w:eastAsiaTheme="minorEastAsia" w:cstheme="minorBidi"/>
          <w:noProof/>
          <w:sz w:val="22"/>
          <w:szCs w:val="22"/>
        </w:rPr>
      </w:pPr>
      <w:hyperlink w:anchor="_Toc119418666" w:history="1">
        <w:r w:rsidRPr="00B5463F">
          <w:rPr>
            <w:rStyle w:val="Hyperlink"/>
            <w:rFonts w:ascii="Calibri" w:hAnsi="Calibri"/>
            <w:noProof/>
          </w:rPr>
          <w:t>A.</w:t>
        </w:r>
        <w:r>
          <w:rPr>
            <w:rFonts w:eastAsiaTheme="minorEastAsia" w:cstheme="minorBidi"/>
            <w:noProof/>
            <w:sz w:val="22"/>
            <w:szCs w:val="22"/>
          </w:rPr>
          <w:tab/>
        </w:r>
        <w:r w:rsidRPr="00B5463F">
          <w:rPr>
            <w:rStyle w:val="Hyperlink"/>
            <w:noProof/>
          </w:rPr>
          <w:t>Data and Methodology</w:t>
        </w:r>
        <w:r>
          <w:rPr>
            <w:noProof/>
            <w:webHidden/>
          </w:rPr>
          <w:tab/>
        </w:r>
        <w:r>
          <w:rPr>
            <w:noProof/>
            <w:webHidden/>
          </w:rPr>
          <w:fldChar w:fldCharType="begin"/>
        </w:r>
        <w:r>
          <w:rPr>
            <w:noProof/>
            <w:webHidden/>
          </w:rPr>
          <w:instrText xml:space="preserve"> PAGEREF _Toc119418666 \h </w:instrText>
        </w:r>
        <w:r>
          <w:rPr>
            <w:noProof/>
            <w:webHidden/>
          </w:rPr>
        </w:r>
        <w:r>
          <w:rPr>
            <w:noProof/>
            <w:webHidden/>
          </w:rPr>
          <w:fldChar w:fldCharType="separate"/>
        </w:r>
        <w:r w:rsidR="008E1EDF">
          <w:rPr>
            <w:noProof/>
            <w:webHidden/>
          </w:rPr>
          <w:t>5</w:t>
        </w:r>
        <w:r>
          <w:rPr>
            <w:noProof/>
            <w:webHidden/>
          </w:rPr>
          <w:fldChar w:fldCharType="end"/>
        </w:r>
      </w:hyperlink>
    </w:p>
    <w:p w14:paraId="5EC14328" w14:textId="79F7782C" w:rsidR="000F63C1" w:rsidRDefault="000F63C1">
      <w:pPr>
        <w:pStyle w:val="TOC3"/>
        <w:tabs>
          <w:tab w:val="left" w:pos="720"/>
          <w:tab w:val="right" w:leader="dot" w:pos="9530"/>
        </w:tabs>
        <w:rPr>
          <w:rFonts w:eastAsiaTheme="minorEastAsia" w:cstheme="minorBidi"/>
          <w:noProof/>
          <w:sz w:val="22"/>
          <w:szCs w:val="22"/>
        </w:rPr>
      </w:pPr>
      <w:hyperlink w:anchor="_Toc119418667" w:history="1">
        <w:r w:rsidRPr="00B5463F">
          <w:rPr>
            <w:rStyle w:val="Hyperlink"/>
            <w:rFonts w:ascii="Calibri" w:hAnsi="Calibri"/>
            <w:noProof/>
          </w:rPr>
          <w:t>B.</w:t>
        </w:r>
        <w:r>
          <w:rPr>
            <w:rFonts w:eastAsiaTheme="minorEastAsia" w:cstheme="minorBidi"/>
            <w:noProof/>
            <w:sz w:val="22"/>
            <w:szCs w:val="22"/>
          </w:rPr>
          <w:tab/>
        </w:r>
        <w:r w:rsidRPr="00B5463F">
          <w:rPr>
            <w:rStyle w:val="Hyperlink"/>
            <w:noProof/>
          </w:rPr>
          <w:t>Findings and Observations</w:t>
        </w:r>
        <w:r>
          <w:rPr>
            <w:noProof/>
            <w:webHidden/>
          </w:rPr>
          <w:tab/>
        </w:r>
      </w:hyperlink>
      <w:r w:rsidR="0062103E">
        <w:t>6</w:t>
      </w:r>
    </w:p>
    <w:p w14:paraId="373A40FB" w14:textId="7229561B" w:rsidR="000F63C1" w:rsidRDefault="000F63C1">
      <w:pPr>
        <w:pStyle w:val="TOC3"/>
        <w:tabs>
          <w:tab w:val="left" w:pos="720"/>
          <w:tab w:val="right" w:leader="dot" w:pos="9530"/>
        </w:tabs>
        <w:rPr>
          <w:rFonts w:eastAsiaTheme="minorEastAsia" w:cstheme="minorBidi"/>
          <w:noProof/>
          <w:sz w:val="22"/>
          <w:szCs w:val="22"/>
        </w:rPr>
      </w:pPr>
      <w:hyperlink w:anchor="_Toc119418668" w:history="1">
        <w:r w:rsidRPr="00B5463F">
          <w:rPr>
            <w:rStyle w:val="Hyperlink"/>
            <w:rFonts w:ascii="Calibri" w:hAnsi="Calibri"/>
            <w:noProof/>
          </w:rPr>
          <w:t>C.</w:t>
        </w:r>
        <w:r>
          <w:rPr>
            <w:rFonts w:eastAsiaTheme="minorEastAsia" w:cstheme="minorBidi"/>
            <w:noProof/>
            <w:sz w:val="22"/>
            <w:szCs w:val="22"/>
          </w:rPr>
          <w:tab/>
        </w:r>
        <w:r w:rsidRPr="00B5463F">
          <w:rPr>
            <w:rStyle w:val="Hyperlink"/>
            <w:noProof/>
          </w:rPr>
          <w:t>State Activity Mandated Measures (SAMM) Highlights</w:t>
        </w:r>
        <w:r>
          <w:rPr>
            <w:noProof/>
            <w:webHidden/>
          </w:rPr>
          <w:tab/>
        </w:r>
        <w:r>
          <w:rPr>
            <w:noProof/>
            <w:webHidden/>
          </w:rPr>
          <w:fldChar w:fldCharType="begin"/>
        </w:r>
        <w:r>
          <w:rPr>
            <w:noProof/>
            <w:webHidden/>
          </w:rPr>
          <w:instrText xml:space="preserve"> PAGEREF _Toc119418668 \h </w:instrText>
        </w:r>
        <w:r>
          <w:rPr>
            <w:noProof/>
            <w:webHidden/>
          </w:rPr>
        </w:r>
        <w:r>
          <w:rPr>
            <w:noProof/>
            <w:webHidden/>
          </w:rPr>
          <w:fldChar w:fldCharType="separate"/>
        </w:r>
        <w:r w:rsidR="008E1EDF">
          <w:rPr>
            <w:noProof/>
            <w:webHidden/>
          </w:rPr>
          <w:t>6</w:t>
        </w:r>
        <w:r>
          <w:rPr>
            <w:noProof/>
            <w:webHidden/>
          </w:rPr>
          <w:fldChar w:fldCharType="end"/>
        </w:r>
      </w:hyperlink>
    </w:p>
    <w:p w14:paraId="50DBA2CB" w14:textId="48B14A25" w:rsidR="000F63C1" w:rsidRDefault="000F63C1">
      <w:pPr>
        <w:pStyle w:val="TOC3"/>
        <w:tabs>
          <w:tab w:val="right" w:leader="dot" w:pos="9530"/>
        </w:tabs>
        <w:rPr>
          <w:rFonts w:eastAsiaTheme="minorEastAsia" w:cstheme="minorBidi"/>
          <w:noProof/>
          <w:sz w:val="22"/>
          <w:szCs w:val="22"/>
        </w:rPr>
      </w:pPr>
      <w:hyperlink w:anchor="_Toc119418669" w:history="1">
        <w:r w:rsidRPr="00B5463F">
          <w:rPr>
            <w:rStyle w:val="Hyperlink"/>
            <w:noProof/>
          </w:rPr>
          <w:t>Appendix A – New and Continued Findings and Recommendations</w:t>
        </w:r>
        <w:r>
          <w:rPr>
            <w:noProof/>
            <w:webHidden/>
          </w:rPr>
          <w:tab/>
        </w:r>
        <w:r>
          <w:rPr>
            <w:noProof/>
            <w:webHidden/>
          </w:rPr>
          <w:fldChar w:fldCharType="begin"/>
        </w:r>
        <w:r>
          <w:rPr>
            <w:noProof/>
            <w:webHidden/>
          </w:rPr>
          <w:instrText xml:space="preserve"> PAGEREF _Toc119418669 \h </w:instrText>
        </w:r>
        <w:r>
          <w:rPr>
            <w:noProof/>
            <w:webHidden/>
          </w:rPr>
        </w:r>
        <w:r>
          <w:rPr>
            <w:noProof/>
            <w:webHidden/>
          </w:rPr>
          <w:fldChar w:fldCharType="separate"/>
        </w:r>
        <w:r w:rsidR="008E1EDF">
          <w:rPr>
            <w:noProof/>
            <w:webHidden/>
          </w:rPr>
          <w:t>8</w:t>
        </w:r>
        <w:r>
          <w:rPr>
            <w:noProof/>
            <w:webHidden/>
          </w:rPr>
          <w:fldChar w:fldCharType="end"/>
        </w:r>
      </w:hyperlink>
    </w:p>
    <w:p w14:paraId="150115C6" w14:textId="58D0045F" w:rsidR="000F63C1" w:rsidRDefault="000F63C1">
      <w:pPr>
        <w:pStyle w:val="TOC3"/>
        <w:tabs>
          <w:tab w:val="right" w:leader="dot" w:pos="9530"/>
        </w:tabs>
        <w:rPr>
          <w:rFonts w:eastAsiaTheme="minorEastAsia" w:cstheme="minorBidi"/>
          <w:noProof/>
          <w:sz w:val="22"/>
          <w:szCs w:val="22"/>
        </w:rPr>
      </w:pPr>
      <w:hyperlink w:anchor="_Toc119418670" w:history="1">
        <w:r w:rsidRPr="00B5463F">
          <w:rPr>
            <w:rStyle w:val="Hyperlink"/>
            <w:noProof/>
          </w:rPr>
          <w:t>Appendix B – Observations Subject to Continued Monitoring</w:t>
        </w:r>
        <w:r>
          <w:rPr>
            <w:noProof/>
            <w:webHidden/>
          </w:rPr>
          <w:tab/>
        </w:r>
        <w:r>
          <w:rPr>
            <w:noProof/>
            <w:webHidden/>
          </w:rPr>
          <w:fldChar w:fldCharType="begin"/>
        </w:r>
        <w:r>
          <w:rPr>
            <w:noProof/>
            <w:webHidden/>
          </w:rPr>
          <w:instrText xml:space="preserve"> PAGEREF _Toc119418670 \h </w:instrText>
        </w:r>
        <w:r>
          <w:rPr>
            <w:noProof/>
            <w:webHidden/>
          </w:rPr>
        </w:r>
        <w:r>
          <w:rPr>
            <w:noProof/>
            <w:webHidden/>
          </w:rPr>
          <w:fldChar w:fldCharType="separate"/>
        </w:r>
        <w:r w:rsidR="008E1EDF">
          <w:rPr>
            <w:noProof/>
            <w:webHidden/>
          </w:rPr>
          <w:t>9</w:t>
        </w:r>
        <w:r>
          <w:rPr>
            <w:noProof/>
            <w:webHidden/>
          </w:rPr>
          <w:fldChar w:fldCharType="end"/>
        </w:r>
      </w:hyperlink>
    </w:p>
    <w:p w14:paraId="65AD001B" w14:textId="432ED3DC" w:rsidR="000F63C1" w:rsidRDefault="000F63C1">
      <w:pPr>
        <w:pStyle w:val="TOC3"/>
        <w:tabs>
          <w:tab w:val="right" w:leader="dot" w:pos="9530"/>
        </w:tabs>
        <w:rPr>
          <w:rFonts w:eastAsiaTheme="minorEastAsia" w:cstheme="minorBidi"/>
          <w:noProof/>
          <w:sz w:val="22"/>
          <w:szCs w:val="22"/>
        </w:rPr>
      </w:pPr>
      <w:hyperlink w:anchor="_Toc119418671" w:history="1">
        <w:r w:rsidRPr="00B5463F">
          <w:rPr>
            <w:rStyle w:val="Hyperlink"/>
            <w:noProof/>
          </w:rPr>
          <w:t>Appendix C - Status of FY 20</w:t>
        </w:r>
        <w:r w:rsidR="004B350A">
          <w:rPr>
            <w:rStyle w:val="Hyperlink"/>
            <w:noProof/>
          </w:rPr>
          <w:t>23</w:t>
        </w:r>
        <w:r w:rsidRPr="00B5463F">
          <w:rPr>
            <w:rStyle w:val="Hyperlink"/>
            <w:noProof/>
          </w:rPr>
          <w:t xml:space="preserve"> Findings and Recommendations</w:t>
        </w:r>
        <w:r>
          <w:rPr>
            <w:noProof/>
            <w:webHidden/>
          </w:rPr>
          <w:tab/>
        </w:r>
        <w:r>
          <w:rPr>
            <w:noProof/>
            <w:webHidden/>
          </w:rPr>
          <w:fldChar w:fldCharType="begin"/>
        </w:r>
        <w:r>
          <w:rPr>
            <w:noProof/>
            <w:webHidden/>
          </w:rPr>
          <w:instrText xml:space="preserve"> PAGEREF _Toc119418671 \h </w:instrText>
        </w:r>
        <w:r>
          <w:rPr>
            <w:noProof/>
            <w:webHidden/>
          </w:rPr>
        </w:r>
        <w:r>
          <w:rPr>
            <w:noProof/>
            <w:webHidden/>
          </w:rPr>
          <w:fldChar w:fldCharType="separate"/>
        </w:r>
        <w:r w:rsidR="008E1EDF">
          <w:rPr>
            <w:noProof/>
            <w:webHidden/>
          </w:rPr>
          <w:t>10</w:t>
        </w:r>
        <w:r>
          <w:rPr>
            <w:noProof/>
            <w:webHidden/>
          </w:rPr>
          <w:fldChar w:fldCharType="end"/>
        </w:r>
      </w:hyperlink>
    </w:p>
    <w:p w14:paraId="38E9E7F9" w14:textId="05BBC9E3" w:rsidR="000F63C1" w:rsidRDefault="000F63C1">
      <w:pPr>
        <w:pStyle w:val="TOC3"/>
        <w:tabs>
          <w:tab w:val="right" w:leader="dot" w:pos="9530"/>
        </w:tabs>
        <w:rPr>
          <w:rFonts w:eastAsiaTheme="minorEastAsia" w:cstheme="minorBidi"/>
          <w:noProof/>
          <w:sz w:val="22"/>
          <w:szCs w:val="22"/>
        </w:rPr>
      </w:pPr>
      <w:hyperlink w:anchor="_Toc119418672" w:history="1">
        <w:r w:rsidRPr="00B5463F">
          <w:rPr>
            <w:rStyle w:val="Hyperlink"/>
            <w:noProof/>
          </w:rPr>
          <w:t>Appendix D – FY 20</w:t>
        </w:r>
        <w:r w:rsidR="004B350A">
          <w:rPr>
            <w:rStyle w:val="Hyperlink"/>
            <w:noProof/>
          </w:rPr>
          <w:t>24</w:t>
        </w:r>
        <w:r w:rsidRPr="00B5463F">
          <w:rPr>
            <w:rStyle w:val="Hyperlink"/>
            <w:noProof/>
          </w:rPr>
          <w:t xml:space="preserve"> State Activity Mandated Measures (SAMM) Report</w:t>
        </w:r>
        <w:r>
          <w:rPr>
            <w:noProof/>
            <w:webHidden/>
          </w:rPr>
          <w:tab/>
        </w:r>
        <w:r>
          <w:rPr>
            <w:noProof/>
            <w:webHidden/>
          </w:rPr>
          <w:fldChar w:fldCharType="begin"/>
        </w:r>
        <w:r>
          <w:rPr>
            <w:noProof/>
            <w:webHidden/>
          </w:rPr>
          <w:instrText xml:space="preserve"> PAGEREF _Toc119418672 \h </w:instrText>
        </w:r>
        <w:r>
          <w:rPr>
            <w:noProof/>
            <w:webHidden/>
          </w:rPr>
        </w:r>
        <w:r>
          <w:rPr>
            <w:noProof/>
            <w:webHidden/>
          </w:rPr>
          <w:fldChar w:fldCharType="separate"/>
        </w:r>
        <w:r w:rsidR="008E1EDF">
          <w:rPr>
            <w:noProof/>
            <w:webHidden/>
          </w:rPr>
          <w:t>11</w:t>
        </w:r>
        <w:r>
          <w:rPr>
            <w:noProof/>
            <w:webHidden/>
          </w:rPr>
          <w:fldChar w:fldCharType="end"/>
        </w:r>
      </w:hyperlink>
    </w:p>
    <w:p w14:paraId="2A952C03" w14:textId="0074FEF9" w:rsidR="00B823A3" w:rsidRDefault="000F63C1" w:rsidP="000F63C1">
      <w:r>
        <w:fldChar w:fldCharType="end"/>
      </w:r>
      <w:r w:rsidR="00B823A3">
        <w:br w:type="page"/>
      </w:r>
    </w:p>
    <w:p w14:paraId="432ADE41" w14:textId="6DC19FCD" w:rsidR="00504921" w:rsidRDefault="000A134A" w:rsidP="00640F6F">
      <w:pPr>
        <w:pStyle w:val="Heading2"/>
        <w:jc w:val="both"/>
      </w:pPr>
      <w:bookmarkStart w:id="2" w:name="_Toc338764303"/>
      <w:bookmarkStart w:id="3" w:name="_Toc118900170"/>
      <w:bookmarkStart w:id="4" w:name="_Toc118905009"/>
      <w:bookmarkStart w:id="5" w:name="_Toc119418663"/>
      <w:r w:rsidRPr="001C1E47">
        <w:t>Executive Summary</w:t>
      </w:r>
      <w:bookmarkEnd w:id="2"/>
      <w:bookmarkEnd w:id="3"/>
      <w:bookmarkEnd w:id="4"/>
      <w:bookmarkEnd w:id="5"/>
      <w:r w:rsidR="00CD0FE9">
        <w:t xml:space="preserve"> </w:t>
      </w:r>
    </w:p>
    <w:p w14:paraId="072CE832" w14:textId="77777777" w:rsidR="00B2099D" w:rsidRPr="00B2099D" w:rsidRDefault="00B2099D" w:rsidP="00B2099D"/>
    <w:p w14:paraId="7394F6CD" w14:textId="45D97AFD" w:rsidR="00D35793" w:rsidRPr="00A23E47" w:rsidRDefault="00D35793" w:rsidP="00A23E47">
      <w:r w:rsidRPr="00A23E47">
        <w:t>The primary purpose of this report is to assess the</w:t>
      </w:r>
      <w:r w:rsidR="003B42CB" w:rsidRPr="00A23E47">
        <w:t xml:space="preserve"> North Carolina</w:t>
      </w:r>
      <w:r w:rsidRPr="00A23E47">
        <w:t xml:space="preserve"> State Plan’s </w:t>
      </w:r>
      <w:r w:rsidR="00E927CF" w:rsidRPr="00A23E47">
        <w:t xml:space="preserve">(OSHNC’s) </w:t>
      </w:r>
      <w:r w:rsidRPr="00A23E47">
        <w:t>progress in Fiscal Year (FY) 202</w:t>
      </w:r>
      <w:r w:rsidR="005A6F89" w:rsidRPr="00A23E47">
        <w:t>4</w:t>
      </w:r>
      <w:r w:rsidRPr="00A23E47">
        <w:t xml:space="preserve">, in </w:t>
      </w:r>
      <w:r w:rsidR="00781BBB" w:rsidRPr="00A23E47">
        <w:t xml:space="preserve">meeting </w:t>
      </w:r>
      <w:r w:rsidR="00C57546" w:rsidRPr="00A23E47">
        <w:t>all criteria for an effective State Plan</w:t>
      </w:r>
      <w:r w:rsidR="00A944C1" w:rsidRPr="00A23E47">
        <w:t xml:space="preserve">, based on the </w:t>
      </w:r>
      <w:r w:rsidRPr="00A23E47">
        <w:t>FY 202</w:t>
      </w:r>
      <w:r w:rsidR="005A6F89" w:rsidRPr="00A23E47">
        <w:t>3</w:t>
      </w:r>
      <w:r w:rsidRPr="00A23E47">
        <w:t xml:space="preserve"> Comprehensive Federal Annual Monitoring Evaluation (FAME)</w:t>
      </w:r>
      <w:r w:rsidR="00504921" w:rsidRPr="00A23E47">
        <w:t>.</w:t>
      </w:r>
      <w:r w:rsidR="003B42CB" w:rsidRPr="00A23E47">
        <w:t xml:space="preserve">  </w:t>
      </w:r>
      <w:r w:rsidR="003B42CB" w:rsidRPr="00A23E47">
        <w:rPr>
          <w:lang w:val="en"/>
        </w:rPr>
        <w:t xml:space="preserve">This report is also based on the results of quarterly onsite monitoring visits, the State Office Annual Report (SOAR) for FY 2024, the </w:t>
      </w:r>
      <w:r w:rsidR="003B42CB" w:rsidRPr="00A23E47">
        <w:t>State Activity Mandated Measures (SAMM) Report, as well as the State Indicator Report</w:t>
      </w:r>
      <w:r w:rsidR="003B42CB" w:rsidRPr="00A23E47">
        <w:rPr>
          <w:b/>
        </w:rPr>
        <w:t xml:space="preserve"> </w:t>
      </w:r>
      <w:r w:rsidR="003B42CB" w:rsidRPr="00A23E47">
        <w:rPr>
          <w:bCs/>
          <w:szCs w:val="28"/>
        </w:rPr>
        <w:t>(</w:t>
      </w:r>
      <w:r w:rsidR="003B42CB" w:rsidRPr="00A23E47">
        <w:rPr>
          <w:lang w:val="en"/>
        </w:rPr>
        <w:t>SIR) ending September 30, 2024</w:t>
      </w:r>
      <w:r w:rsidR="00986C3F">
        <w:rPr>
          <w:lang w:val="en"/>
        </w:rPr>
        <w:t>, respectively</w:t>
      </w:r>
      <w:r w:rsidR="003B42CB" w:rsidRPr="00A23E47">
        <w:rPr>
          <w:lang w:val="en"/>
        </w:rPr>
        <w:t>.</w:t>
      </w:r>
      <w:r w:rsidR="003B42CB" w:rsidRPr="00A23E47">
        <w:t xml:space="preserve">  </w:t>
      </w:r>
      <w:r w:rsidRPr="00A23E47">
        <w:t>A review of the SAMM data for FY 202</w:t>
      </w:r>
      <w:r w:rsidR="005A6F89" w:rsidRPr="00A23E47">
        <w:t>4</w:t>
      </w:r>
      <w:r w:rsidRPr="00A23E47">
        <w:t xml:space="preserve"> indicated that OSH</w:t>
      </w:r>
      <w:r w:rsidR="00E927CF" w:rsidRPr="00A23E47">
        <w:t>NC</w:t>
      </w:r>
      <w:r w:rsidRPr="00A23E47">
        <w:t xml:space="preserve"> generally met or exceeded federal activity results.  No new findings or observations were identified in FY 202</w:t>
      </w:r>
      <w:r w:rsidR="005C4152" w:rsidRPr="00A23E47">
        <w:t>4</w:t>
      </w:r>
      <w:r w:rsidRPr="00A23E47">
        <w:t xml:space="preserve">. </w:t>
      </w:r>
    </w:p>
    <w:p w14:paraId="472D0503" w14:textId="27B4C078" w:rsidR="00486A70" w:rsidRPr="00A23E47" w:rsidRDefault="00486A70" w:rsidP="00A23E47"/>
    <w:p w14:paraId="53DB609E" w14:textId="3CDC060A" w:rsidR="00D73153" w:rsidRPr="00A23E47" w:rsidRDefault="00D73153" w:rsidP="00A23E47">
      <w:r w:rsidRPr="00A23E47">
        <w:t xml:space="preserve">OSHNC's Five-Year Strategic Management Plan, ending September 30, 2028, </w:t>
      </w:r>
      <w:r w:rsidR="000B3DB5" w:rsidRPr="00A23E47">
        <w:t>aims</w:t>
      </w:r>
      <w:r w:rsidRPr="00A23E47">
        <w:t xml:space="preserve"> to reduce the workplace fatality rate by 2% and the injury and illness rate by 5%. In FY 2024, workplace fatalities decreased to 48 from 72 in FY 2023. Target</w:t>
      </w:r>
      <w:r w:rsidR="000B3DB5" w:rsidRPr="00A23E47">
        <w:t>ed</w:t>
      </w:r>
      <w:r w:rsidRPr="00A23E47">
        <w:t xml:space="preserve"> areas include reducing fatalities in construction, logging, and arboriculture, and lowering injury rates in industries</w:t>
      </w:r>
      <w:r w:rsidR="00EF3923">
        <w:t>,</w:t>
      </w:r>
      <w:r w:rsidRPr="00A23E47">
        <w:t xml:space="preserve"> such as grocery wholesalers, long-term care, and food manufacturing. OSHNC is also working to reduce amputations and address health hazards such as lead, beryllium, silica, and hexavalent chromium.</w:t>
      </w:r>
    </w:p>
    <w:p w14:paraId="0FE6B11C" w14:textId="77777777" w:rsidR="00486A70" w:rsidRPr="00A23E47" w:rsidRDefault="00486A70" w:rsidP="00A23E47"/>
    <w:p w14:paraId="7B42F61C" w14:textId="14EC4396" w:rsidR="001F28FA" w:rsidRPr="00A23E47" w:rsidRDefault="00D73153" w:rsidP="00A23E47">
      <w:r w:rsidRPr="00A23E47">
        <w:t xml:space="preserve">OSHNC raised heat stress awareness in FY 2024 through outreach and enforcement, conducting 190 heat-related inspections and launching social media campaigns. A dedicated "Heat Illness Prevention Campaign" webpage provided resources, including webinars, presentations, and materials in both English and Spanish. OSHNC also posted heat stress prevention billboards statewide and conducted 10 public webinars and </w:t>
      </w:r>
      <w:proofErr w:type="gramStart"/>
      <w:r w:rsidRPr="00A23E47">
        <w:t>speakers</w:t>
      </w:r>
      <w:proofErr w:type="gramEnd"/>
      <w:r w:rsidRPr="00A23E47">
        <w:t xml:space="preserve"> bureau </w:t>
      </w:r>
      <w:r w:rsidR="00881852" w:rsidRPr="00A23E47">
        <w:t xml:space="preserve">training </w:t>
      </w:r>
      <w:r w:rsidRPr="00A23E47">
        <w:t xml:space="preserve">events. </w:t>
      </w:r>
      <w:r w:rsidR="00270C8D" w:rsidRPr="00A23E47">
        <w:t xml:space="preserve">Additionally, two Health Standards Officers </w:t>
      </w:r>
      <w:r w:rsidR="00111F7E" w:rsidRPr="00A23E47">
        <w:t xml:space="preserve">served on the </w:t>
      </w:r>
      <w:r w:rsidR="00EB005A" w:rsidRPr="00A23E47">
        <w:t xml:space="preserve">North Carolina </w:t>
      </w:r>
      <w:r w:rsidR="00270C8D" w:rsidRPr="00A23E47">
        <w:t xml:space="preserve">Department of Health and Human Services </w:t>
      </w:r>
      <w:r w:rsidR="000F3AC3" w:rsidRPr="00A23E47">
        <w:t xml:space="preserve">(NCDHHS) </w:t>
      </w:r>
      <w:r w:rsidR="00270C8D" w:rsidRPr="00A23E47">
        <w:t xml:space="preserve">Heat Committee and </w:t>
      </w:r>
      <w:r w:rsidR="00B62576" w:rsidRPr="00A23E47">
        <w:t xml:space="preserve">the </w:t>
      </w:r>
      <w:r w:rsidR="00270C8D" w:rsidRPr="00A23E47">
        <w:t>Carolinas Heat Coalition Committee</w:t>
      </w:r>
      <w:r w:rsidR="00E9374E" w:rsidRPr="00A23E47">
        <w:t>.</w:t>
      </w:r>
      <w:r w:rsidR="00270C8D" w:rsidRPr="00A23E47">
        <w:t xml:space="preserve"> </w:t>
      </w:r>
      <w:r w:rsidR="00E9374E" w:rsidRPr="00A23E47">
        <w:t>The goal of these committees is to devel</w:t>
      </w:r>
      <w:r w:rsidR="001A0A9C" w:rsidRPr="00A23E47">
        <w:t xml:space="preserve">op strategies to </w:t>
      </w:r>
      <w:r w:rsidR="00193EC9" w:rsidRPr="00A23E47">
        <w:t xml:space="preserve">effectively </w:t>
      </w:r>
      <w:r w:rsidR="00270C8D" w:rsidRPr="00A23E47">
        <w:t>address</w:t>
      </w:r>
      <w:r w:rsidR="00193EC9" w:rsidRPr="00A23E47">
        <w:t xml:space="preserve"> </w:t>
      </w:r>
      <w:r w:rsidR="00270C8D" w:rsidRPr="00A23E47">
        <w:t xml:space="preserve">heat-related hazards in the </w:t>
      </w:r>
      <w:r w:rsidR="00BC31DF">
        <w:t>S</w:t>
      </w:r>
      <w:r w:rsidR="00D766FD" w:rsidRPr="00A23E47">
        <w:t>tate</w:t>
      </w:r>
      <w:r w:rsidR="00270C8D" w:rsidRPr="00A23E47">
        <w:t>.</w:t>
      </w:r>
    </w:p>
    <w:p w14:paraId="4D90A1ED" w14:textId="77777777" w:rsidR="00486A70" w:rsidRPr="00A23E47" w:rsidRDefault="00486A70" w:rsidP="00A23E47"/>
    <w:p w14:paraId="32F18A88" w14:textId="6FA28C9F" w:rsidR="00F373DB" w:rsidRPr="00A23E47" w:rsidRDefault="00F373DB" w:rsidP="00A23E47">
      <w:r w:rsidRPr="00A23E47">
        <w:t xml:space="preserve">The Agricultural Safety and Health (ASH) Bureau focused on educating farmers, farm labor contractors, and other stakeholders about heat stress prevention, a significant hazard in agriculture, through in-person training sessions and the distribution of bilingual publications during preoccupancy inspections of migrant housing across the </w:t>
      </w:r>
      <w:r w:rsidR="00BC31DF">
        <w:t>S</w:t>
      </w:r>
      <w:r w:rsidRPr="00A23E47">
        <w:t>tate.</w:t>
      </w:r>
    </w:p>
    <w:p w14:paraId="75947F83" w14:textId="77777777" w:rsidR="00486A70" w:rsidRPr="00A23E47" w:rsidRDefault="00486A70" w:rsidP="00A23E47"/>
    <w:p w14:paraId="24DCCE70" w14:textId="3CCBA593" w:rsidR="00D35793" w:rsidRPr="00A23E47" w:rsidRDefault="00D73153" w:rsidP="00A23E47">
      <w:r w:rsidRPr="00A23E47">
        <w:t>OSHNC continues to improve safety programs t</w:t>
      </w:r>
      <w:r w:rsidR="00C54699" w:rsidRPr="00A23E47">
        <w:t xml:space="preserve">hrough consultation, and training; expanding safety recognition initiatives; </w:t>
      </w:r>
      <w:r w:rsidR="005A6F89" w:rsidRPr="00A23E47">
        <w:t>building</w:t>
      </w:r>
      <w:r w:rsidR="00C54699" w:rsidRPr="00A23E47">
        <w:t xml:space="preserve"> partnerships and alliances; and implementing Special Emphasis Programs (SEPs) tailored to high-risk industries. </w:t>
      </w:r>
      <w:r w:rsidR="005A6F89" w:rsidRPr="00A23E47">
        <w:t>Progress on activity and outcome goals is tracked monthly and reviewed during quarterly committee meetings.</w:t>
      </w:r>
    </w:p>
    <w:p w14:paraId="0171BB11" w14:textId="77777777" w:rsidR="00486A70" w:rsidRPr="00A23E47" w:rsidRDefault="00486A70" w:rsidP="00A23E47"/>
    <w:p w14:paraId="6916E4B7" w14:textId="03D4569A" w:rsidR="00D35793" w:rsidRPr="00A23E47" w:rsidRDefault="00D35793" w:rsidP="00A23E47">
      <w:r w:rsidRPr="00A23E47">
        <w:rPr>
          <w:rFonts w:eastAsia="Calibri"/>
        </w:rPr>
        <w:t xml:space="preserve">Based on the most current available data, </w:t>
      </w:r>
      <w:r w:rsidR="005325FA" w:rsidRPr="00A23E47">
        <w:t xml:space="preserve">North Carolina’s injury and illness rates for Calendar Year (CY) 2023 have stayed at historic low levels. The private sector Total Recordable Case (TRC) rate was 2.2 and the Days Away, Restricted, or Transferred (DART) rate was 1.4. These rates are 19% lower and 18% lower, respectively, than the national average. When the </w:t>
      </w:r>
      <w:r w:rsidR="0087243E" w:rsidRPr="00A23E47">
        <w:t xml:space="preserve">local and state government </w:t>
      </w:r>
      <w:r w:rsidR="005325FA" w:rsidRPr="00A23E47">
        <w:t>numbers are included, the overall TRC rate was 2.4 and the DART rate was 1.4. These rates are 20% lower and 22% lower, respectively, than the national rates.</w:t>
      </w:r>
    </w:p>
    <w:p w14:paraId="7690A614" w14:textId="77777777" w:rsidR="005325FA" w:rsidRDefault="005325FA" w:rsidP="00486A70">
      <w:pPr>
        <w:pStyle w:val="NoSpacing"/>
        <w:jc w:val="both"/>
      </w:pPr>
    </w:p>
    <w:p w14:paraId="67E95E6F" w14:textId="6755D6C3" w:rsidR="000A134A" w:rsidRPr="001C1E47"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7ED8AA2D" w14:textId="77777777" w:rsidR="000A134A" w:rsidRPr="001C1E47" w:rsidRDefault="000A134A" w:rsidP="00783189">
      <w:pPr>
        <w:widowControl/>
        <w:autoSpaceDE/>
        <w:autoSpaceDN/>
        <w:adjustRightInd/>
        <w:rPr>
          <w:rFonts w:cs="Calibri"/>
          <w:i/>
        </w:rPr>
      </w:pPr>
    </w:p>
    <w:p w14:paraId="655F4726" w14:textId="5AF380AD" w:rsidR="005502AD" w:rsidRPr="005502AD" w:rsidRDefault="005502AD" w:rsidP="00A23E47">
      <w:r w:rsidRPr="005502AD">
        <w:t>The North Carolina Occupational Safety and Health State Plan received final approval, under Section 18(e) of the OSH Act</w:t>
      </w:r>
      <w:r w:rsidR="00810756">
        <w:t>,</w:t>
      </w:r>
      <w:r w:rsidRPr="005502AD">
        <w:t xml:space="preserve"> on December 10, 1996.  The official designated as responsible for administering the program</w:t>
      </w:r>
      <w:r w:rsidR="00CC0409">
        <w:t xml:space="preserve"> </w:t>
      </w:r>
      <w:r w:rsidRPr="005502AD">
        <w:t>is the Commissioner of Labor.  The Commissioner of Labor is a constitutional officer selected through a statewide election.  During the evaluation period, the Commissioner of Labor was Josh Dobson.  Within the NC Department of Labor, the Occupational Safety and Health Division has responsibility for carrying out the requirements of the State Plan.  Jennifer Haigwood serves as Deputy Commissioner/Director of the Occupational Safety and Health Division</w:t>
      </w:r>
      <w:r w:rsidR="003C79C1">
        <w:t xml:space="preserve">. </w:t>
      </w:r>
      <w:r w:rsidRPr="005502AD">
        <w:t>Paul Sullivan serve</w:t>
      </w:r>
      <w:r w:rsidR="00810756">
        <w:t>d</w:t>
      </w:r>
      <w:r w:rsidRPr="005502AD">
        <w:t xml:space="preserve"> as Assistant Deputy Commissioner/Assistant Director of the OSH Division.  Commissioner Dobson and his leadership team were all in </w:t>
      </w:r>
      <w:r w:rsidR="00810756">
        <w:t xml:space="preserve">their respective </w:t>
      </w:r>
      <w:r w:rsidRPr="005502AD">
        <w:t>position</w:t>
      </w:r>
      <w:r w:rsidR="00810756">
        <w:t>s</w:t>
      </w:r>
      <w:r w:rsidRPr="005502AD">
        <w:t xml:space="preserve"> during the evaluation period. </w:t>
      </w:r>
    </w:p>
    <w:p w14:paraId="133975E4" w14:textId="77777777" w:rsidR="005502AD" w:rsidRPr="005502AD" w:rsidRDefault="005502AD" w:rsidP="00A23E47">
      <w:r w:rsidRPr="005502AD">
        <w:t>    </w:t>
      </w:r>
    </w:p>
    <w:p w14:paraId="1E6C73B0" w14:textId="2823AF30" w:rsidR="005502AD" w:rsidRPr="005502AD" w:rsidRDefault="005502AD" w:rsidP="00A23E47">
      <w:r w:rsidRPr="005502AD">
        <w:t xml:space="preserve">The Occupational Safety and Health Division is organized into the following operating units: East and West Compliance Bureaus; Bureau of Education, Training, and Technical Assistance (ETTA); Bureau of Consultative Services; Bureau of Planning, Statistics, and Information Management (PSIM), and the Agricultural Safety and Health (ASH) Bureau.  The main office and a district office </w:t>
      </w:r>
      <w:r w:rsidR="001F0DC2" w:rsidRPr="005502AD">
        <w:t>are in</w:t>
      </w:r>
      <w:r w:rsidRPr="005502AD">
        <w:t xml:space="preserve"> Raleigh, with four additional offices located throughout the State: Asheville; Charlotte; Winston-Salem; and Wilmington.  Currently, there are 196.8 positions funded under the 23(g) grant, including 102 positions, which are 100% state</w:t>
      </w:r>
      <w:r w:rsidR="0087243E">
        <w:t xml:space="preserve"> </w:t>
      </w:r>
      <w:r w:rsidRPr="005502AD">
        <w:t xml:space="preserve">funded.  These positions include 64 safety compliance </w:t>
      </w:r>
      <w:r w:rsidR="007C75A7" w:rsidRPr="005502AD">
        <w:t>officers,</w:t>
      </w:r>
      <w:r w:rsidRPr="005502AD">
        <w:t xml:space="preserve"> and 45 health compliance officers assigned to district offices throughout the State.  Additional safety and health professionals work in ETTA with responsibilities related to training, development of outreach materials, standards, and the Carolina Star Program (Voluntary Protection Program).  The worker population in North Carolina consists of approximately 4,436,892 workers, and nearly 282,534 establishments.</w:t>
      </w:r>
    </w:p>
    <w:p w14:paraId="419EE1D5" w14:textId="77777777" w:rsidR="005502AD" w:rsidRPr="005502AD" w:rsidRDefault="005502AD" w:rsidP="00A23E47"/>
    <w:p w14:paraId="074A7961" w14:textId="77777777" w:rsidR="005502AD" w:rsidRPr="005502AD" w:rsidRDefault="005502AD" w:rsidP="00A23E47">
      <w:r w:rsidRPr="005502AD">
        <w:t xml:space="preserve">Employee protection from retaliation related to occupational safety and health is administered by the Employment Discrimination Bureau, which falls under the Deputy Commissioner for Standards and Inspections, in the North Carolina Department of Labor.  This Bureau covers several types of employment-related retaliation, in addition to whistleblower protection that falls under the jurisdiction of the State Plan.  </w:t>
      </w:r>
    </w:p>
    <w:p w14:paraId="4F1F3F47" w14:textId="77777777" w:rsidR="005502AD" w:rsidRPr="005502AD" w:rsidRDefault="005502AD" w:rsidP="00A23E47">
      <w:r w:rsidRPr="005502AD">
        <w:t xml:space="preserve"> </w:t>
      </w:r>
    </w:p>
    <w:p w14:paraId="7CCB53BE" w14:textId="0AB82405" w:rsidR="005502AD" w:rsidRPr="005502AD" w:rsidRDefault="005502AD" w:rsidP="00A23E47">
      <w:r w:rsidRPr="005502AD">
        <w:t xml:space="preserve">The North Carolina Department of Labor provides private sector onsite consultative services through a 21(d) Grant.  There are 20.1 positions funded under the 21(d) grant, including consultants, administrative staff, and managerial employees.  Four of the 21(d) positions are 100% </w:t>
      </w:r>
      <w:r w:rsidR="0087243E" w:rsidRPr="005502AD">
        <w:t>state</w:t>
      </w:r>
      <w:r w:rsidR="0087243E">
        <w:t xml:space="preserve"> funded</w:t>
      </w:r>
      <w:r w:rsidRPr="005502AD">
        <w:t>.  State and local government 23(g) grant consultative services, enforcement, and compliance assistance activities, are accomplished by the same staff, in accordance with consultation procedures established for the private sector.  OSHNC’s Carolina Star Program organizationally falls within the Education, Training, and Technical Assistance Bureau.</w:t>
      </w:r>
    </w:p>
    <w:p w14:paraId="68C0A1EE" w14:textId="77777777" w:rsidR="007E0705" w:rsidRDefault="007E0705" w:rsidP="007E0705">
      <w:pPr>
        <w:ind w:firstLine="420"/>
        <w:jc w:val="both"/>
      </w:pPr>
    </w:p>
    <w:p w14:paraId="6612C427" w14:textId="77777777" w:rsidR="00E92112" w:rsidRDefault="00E92112" w:rsidP="007E0705">
      <w:pPr>
        <w:jc w:val="center"/>
      </w:pPr>
    </w:p>
    <w:p w14:paraId="72E1AA54" w14:textId="77777777" w:rsidR="00E92112" w:rsidRDefault="00E92112" w:rsidP="007E0705">
      <w:pPr>
        <w:jc w:val="center"/>
      </w:pPr>
    </w:p>
    <w:p w14:paraId="5F3B0CB3" w14:textId="77777777" w:rsidR="00E92112" w:rsidRDefault="00E92112" w:rsidP="007E0705">
      <w:pPr>
        <w:jc w:val="center"/>
      </w:pPr>
    </w:p>
    <w:p w14:paraId="2E1895A8" w14:textId="77777777" w:rsidR="00E92112" w:rsidRDefault="00E92112" w:rsidP="007E0705">
      <w:pPr>
        <w:jc w:val="center"/>
      </w:pPr>
    </w:p>
    <w:p w14:paraId="1BE27D6C" w14:textId="77630DE2" w:rsidR="00D35793" w:rsidRDefault="00D35793" w:rsidP="007E0705">
      <w:pPr>
        <w:jc w:val="center"/>
      </w:pPr>
      <w:r>
        <w:t>The table below shows the OSHNC’s funding levels from FY 20</w:t>
      </w:r>
      <w:r w:rsidR="003764B8">
        <w:t>20</w:t>
      </w:r>
      <w:r>
        <w:t xml:space="preserve"> through FY 202</w:t>
      </w:r>
      <w:r w:rsidR="003764B8">
        <w:t>4</w:t>
      </w:r>
    </w:p>
    <w:p w14:paraId="08CA406F" w14:textId="7510D59A" w:rsidR="003764B8" w:rsidRPr="003764B8" w:rsidRDefault="003764B8" w:rsidP="003764B8">
      <w:pPr>
        <w:rPr>
          <w:rFonts w:ascii="Times New Roman" w:hAnsi="Times New Roman"/>
        </w:rPr>
      </w:pPr>
    </w:p>
    <w:tbl>
      <w:tblPr>
        <w:tblpPr w:leftFromText="195" w:rightFromText="195" w:vertAnchor="text"/>
        <w:tblW w:w="9620" w:type="dxa"/>
        <w:tblCellMar>
          <w:left w:w="0" w:type="dxa"/>
          <w:right w:w="0" w:type="dxa"/>
        </w:tblCellMar>
        <w:tblLook w:val="04A0" w:firstRow="1" w:lastRow="0" w:firstColumn="1" w:lastColumn="0" w:noHBand="0" w:noVBand="1"/>
      </w:tblPr>
      <w:tblGrid>
        <w:gridCol w:w="980"/>
        <w:gridCol w:w="1288"/>
        <w:gridCol w:w="1322"/>
        <w:gridCol w:w="2614"/>
        <w:gridCol w:w="1706"/>
        <w:gridCol w:w="1710"/>
      </w:tblGrid>
      <w:tr w:rsidR="003764B8" w14:paraId="293E05DB" w14:textId="77777777" w:rsidTr="003764B8">
        <w:trPr>
          <w:trHeight w:val="430"/>
        </w:trPr>
        <w:tc>
          <w:tcPr>
            <w:tcW w:w="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16858A" w14:textId="77777777" w:rsidR="003764B8" w:rsidRDefault="003764B8">
            <w:pPr>
              <w:jc w:val="center"/>
              <w:rPr>
                <w:rFonts w:cs="Calibri"/>
                <w:b/>
                <w:bCs/>
              </w:rPr>
            </w:pPr>
            <w:r>
              <w:rPr>
                <w:b/>
                <w:bCs/>
              </w:rPr>
              <w:t>Fiscal Year</w:t>
            </w:r>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0DE735" w14:textId="77777777" w:rsidR="003764B8" w:rsidRDefault="003764B8">
            <w:pPr>
              <w:jc w:val="center"/>
              <w:rPr>
                <w:rFonts w:cs="Calibri"/>
                <w:b/>
                <w:bCs/>
              </w:rPr>
            </w:pPr>
            <w:r>
              <w:rPr>
                <w:b/>
                <w:bCs/>
              </w:rPr>
              <w:t>Federal Award ($)</w:t>
            </w:r>
          </w:p>
        </w:tc>
        <w:tc>
          <w:tcPr>
            <w:tcW w:w="13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6BC18F" w14:textId="77777777" w:rsidR="003764B8" w:rsidRDefault="003764B8">
            <w:pPr>
              <w:jc w:val="center"/>
              <w:rPr>
                <w:rFonts w:cs="Calibri"/>
                <w:b/>
                <w:bCs/>
              </w:rPr>
            </w:pPr>
            <w:r>
              <w:rPr>
                <w:b/>
                <w:bCs/>
              </w:rPr>
              <w:t>State Plan Match ($)</w:t>
            </w:r>
          </w:p>
        </w:tc>
        <w:tc>
          <w:tcPr>
            <w:tcW w:w="2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ED549A" w14:textId="77777777" w:rsidR="003764B8" w:rsidRDefault="003764B8">
            <w:pPr>
              <w:jc w:val="center"/>
              <w:rPr>
                <w:rFonts w:cs="Calibri"/>
                <w:b/>
                <w:bCs/>
              </w:rPr>
            </w:pPr>
            <w:r>
              <w:rPr>
                <w:b/>
                <w:bCs/>
              </w:rPr>
              <w:t>100% State Funds ($)</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D386FC" w14:textId="77777777" w:rsidR="003764B8" w:rsidRDefault="003764B8">
            <w:pPr>
              <w:jc w:val="center"/>
              <w:rPr>
                <w:rFonts w:cs="Calibri"/>
                <w:b/>
                <w:bCs/>
              </w:rPr>
            </w:pPr>
          </w:p>
          <w:p w14:paraId="71EE7917" w14:textId="77777777" w:rsidR="003764B8" w:rsidRDefault="003764B8">
            <w:pPr>
              <w:jc w:val="center"/>
              <w:rPr>
                <w:rFonts w:cs="Calibri"/>
                <w:b/>
                <w:bCs/>
              </w:rPr>
            </w:pPr>
            <w:r>
              <w:rPr>
                <w:b/>
                <w:bCs/>
              </w:rPr>
              <w:t>Total Funding ($)</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A857D2" w14:textId="77777777" w:rsidR="003764B8" w:rsidRDefault="003764B8">
            <w:pPr>
              <w:jc w:val="center"/>
              <w:rPr>
                <w:rFonts w:cs="Calibri"/>
                <w:b/>
                <w:bCs/>
              </w:rPr>
            </w:pPr>
            <w:r>
              <w:rPr>
                <w:b/>
                <w:bCs/>
              </w:rPr>
              <w:t>% of State Plan Contribution</w:t>
            </w:r>
          </w:p>
        </w:tc>
      </w:tr>
      <w:tr w:rsidR="003764B8" w14:paraId="73E6B8BC" w14:textId="77777777" w:rsidTr="003764B8">
        <w:trPr>
          <w:trHeight w:val="177"/>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7371FB" w14:textId="77777777" w:rsidR="003764B8" w:rsidRDefault="003764B8">
            <w:pPr>
              <w:jc w:val="center"/>
              <w:rPr>
                <w:rFonts w:ascii="Times New Roman" w:hAnsi="Times New Roman"/>
                <w:b/>
                <w:bCs/>
              </w:rPr>
            </w:pPr>
            <w:r w:rsidRPr="00985184">
              <w:rPr>
                <w:b/>
                <w:bCs/>
              </w:rPr>
              <w:t>2024</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898B4" w14:textId="77777777" w:rsidR="003764B8" w:rsidRDefault="003764B8">
            <w:pPr>
              <w:jc w:val="center"/>
            </w:pPr>
            <w:r>
              <w:t>6,236,500</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70828" w14:textId="77777777" w:rsidR="003764B8" w:rsidRDefault="003764B8">
            <w:pPr>
              <w:jc w:val="center"/>
            </w:pPr>
            <w:r>
              <w:t>6,236,500</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0CD69" w14:textId="77777777" w:rsidR="003764B8" w:rsidRDefault="003764B8">
            <w:pPr>
              <w:jc w:val="center"/>
            </w:pPr>
            <w:r>
              <w:t>9,974,877</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4F7AE" w14:textId="77777777" w:rsidR="003764B8" w:rsidRDefault="003764B8">
            <w:pPr>
              <w:jc w:val="center"/>
            </w:pPr>
            <w:r>
              <w:t>22,447,877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EB371" w14:textId="77777777" w:rsidR="003764B8" w:rsidRDefault="003764B8">
            <w:pPr>
              <w:jc w:val="center"/>
            </w:pPr>
            <w:r>
              <w:t>72.22</w:t>
            </w:r>
          </w:p>
        </w:tc>
      </w:tr>
      <w:tr w:rsidR="003764B8" w14:paraId="4121F825" w14:textId="77777777" w:rsidTr="003764B8">
        <w:trPr>
          <w:trHeight w:val="177"/>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9F775" w14:textId="77777777" w:rsidR="003764B8" w:rsidRDefault="003764B8">
            <w:pPr>
              <w:jc w:val="center"/>
              <w:rPr>
                <w:b/>
                <w:bCs/>
              </w:rPr>
            </w:pPr>
            <w:r>
              <w:rPr>
                <w:b/>
                <w:bCs/>
              </w:rPr>
              <w:t>2023</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74AC0" w14:textId="77777777" w:rsidR="003764B8" w:rsidRDefault="003764B8">
            <w:pPr>
              <w:jc w:val="center"/>
            </w:pPr>
            <w:r>
              <w:t>6,469,500</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B7C57" w14:textId="77777777" w:rsidR="003764B8" w:rsidRDefault="003764B8">
            <w:pPr>
              <w:jc w:val="center"/>
            </w:pPr>
            <w:r>
              <w:t>6,469,500</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E1894" w14:textId="77777777" w:rsidR="003764B8" w:rsidRDefault="003764B8">
            <w:pPr>
              <w:jc w:val="center"/>
            </w:pPr>
            <w:r>
              <w:t>9,157,287</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1D315" w14:textId="77777777" w:rsidR="003764B8" w:rsidRDefault="003764B8">
            <w:pPr>
              <w:jc w:val="center"/>
            </w:pPr>
            <w:r>
              <w:t>22,096,287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BCD5B" w14:textId="77777777" w:rsidR="003764B8" w:rsidRDefault="003764B8">
            <w:pPr>
              <w:jc w:val="center"/>
            </w:pPr>
            <w:r>
              <w:t>70.72</w:t>
            </w:r>
          </w:p>
        </w:tc>
      </w:tr>
      <w:tr w:rsidR="003764B8" w14:paraId="36538122" w14:textId="77777777" w:rsidTr="003764B8">
        <w:trPr>
          <w:trHeight w:val="177"/>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98659" w14:textId="77777777" w:rsidR="003764B8" w:rsidRDefault="003764B8">
            <w:pPr>
              <w:jc w:val="center"/>
              <w:rPr>
                <w:b/>
                <w:bCs/>
              </w:rPr>
            </w:pPr>
            <w:r>
              <w:rPr>
                <w:b/>
                <w:bCs/>
              </w:rPr>
              <w:t>2022</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3D52D" w14:textId="77777777" w:rsidR="003764B8" w:rsidRDefault="003764B8">
            <w:pPr>
              <w:jc w:val="center"/>
            </w:pPr>
            <w:r>
              <w:t>6,029,800</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61F2C" w14:textId="77777777" w:rsidR="003764B8" w:rsidRDefault="003764B8">
            <w:pPr>
              <w:jc w:val="center"/>
            </w:pPr>
            <w:r>
              <w:t>6,029,800</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6D6B0" w14:textId="77777777" w:rsidR="003764B8" w:rsidRDefault="003764B8">
            <w:pPr>
              <w:jc w:val="center"/>
            </w:pPr>
            <w:r>
              <w:t>8,535,199</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719F2" w14:textId="77777777" w:rsidR="003764B8" w:rsidRDefault="003764B8">
            <w:pPr>
              <w:jc w:val="center"/>
            </w:pPr>
            <w:r>
              <w:t>20,594,799</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B2410" w14:textId="77777777" w:rsidR="003764B8" w:rsidRDefault="003764B8">
            <w:pPr>
              <w:jc w:val="center"/>
            </w:pPr>
            <w:r>
              <w:t>70.72</w:t>
            </w:r>
          </w:p>
        </w:tc>
      </w:tr>
      <w:tr w:rsidR="003764B8" w14:paraId="086B17BE" w14:textId="77777777" w:rsidTr="003764B8">
        <w:trPr>
          <w:trHeight w:val="177"/>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DD0FD" w14:textId="77777777" w:rsidR="003764B8" w:rsidRDefault="003764B8">
            <w:pPr>
              <w:jc w:val="center"/>
              <w:rPr>
                <w:b/>
                <w:bCs/>
              </w:rPr>
            </w:pPr>
            <w:r>
              <w:rPr>
                <w:b/>
                <w:bCs/>
              </w:rPr>
              <w:t>2021</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7595F" w14:textId="77777777" w:rsidR="003764B8" w:rsidRDefault="003764B8">
            <w:pPr>
              <w:jc w:val="center"/>
            </w:pPr>
            <w:r>
              <w:t>5,900,200</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C54B8" w14:textId="77777777" w:rsidR="003764B8" w:rsidRDefault="003764B8">
            <w:pPr>
              <w:jc w:val="center"/>
            </w:pPr>
            <w:r>
              <w:t>5,900,200</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B146D" w14:textId="77777777" w:rsidR="003764B8" w:rsidRDefault="003764B8">
            <w:pPr>
              <w:jc w:val="center"/>
            </w:pPr>
            <w:r>
              <w:t>7,788,501</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B5D8F" w14:textId="77777777" w:rsidR="003764B8" w:rsidRDefault="003764B8">
            <w:pPr>
              <w:jc w:val="center"/>
            </w:pPr>
            <w:r>
              <w:t>19,588,901</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10720" w14:textId="77777777" w:rsidR="003764B8" w:rsidRDefault="003764B8">
            <w:pPr>
              <w:jc w:val="center"/>
            </w:pPr>
            <w:r>
              <w:t>69.88</w:t>
            </w:r>
          </w:p>
        </w:tc>
      </w:tr>
      <w:tr w:rsidR="003764B8" w14:paraId="26FAF78C" w14:textId="77777777" w:rsidTr="003764B8">
        <w:trPr>
          <w:trHeight w:val="177"/>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A8195" w14:textId="77777777" w:rsidR="003764B8" w:rsidRDefault="003764B8">
            <w:pPr>
              <w:jc w:val="center"/>
              <w:rPr>
                <w:rFonts w:cs="Calibri"/>
                <w:b/>
                <w:bCs/>
              </w:rPr>
            </w:pPr>
            <w:r>
              <w:rPr>
                <w:b/>
                <w:bCs/>
              </w:rPr>
              <w:t>2020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C9F563" w14:textId="77777777" w:rsidR="003764B8" w:rsidRDefault="003764B8">
            <w:pPr>
              <w:jc w:val="center"/>
              <w:rPr>
                <w:rFonts w:cs="Calibri"/>
              </w:rPr>
            </w:pPr>
            <w:r>
              <w:t>5,810,300</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7C304" w14:textId="77777777" w:rsidR="003764B8" w:rsidRDefault="003764B8">
            <w:pPr>
              <w:jc w:val="center"/>
              <w:rPr>
                <w:rFonts w:cs="Calibri"/>
              </w:rPr>
            </w:pPr>
            <w:r>
              <w:t>5,810,300</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12116" w14:textId="77777777" w:rsidR="003764B8" w:rsidRDefault="003764B8">
            <w:pPr>
              <w:jc w:val="center"/>
              <w:rPr>
                <w:rFonts w:cs="Calibri"/>
              </w:rPr>
            </w:pPr>
            <w:r>
              <w:t>7,782,005</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EF80C" w14:textId="77777777" w:rsidR="003764B8" w:rsidRDefault="003764B8">
            <w:pPr>
              <w:jc w:val="center"/>
              <w:rPr>
                <w:rFonts w:cs="Calibri"/>
              </w:rPr>
            </w:pPr>
            <w:r>
              <w:t>19,402,605</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EC0E5" w14:textId="77777777" w:rsidR="003764B8" w:rsidRDefault="003764B8">
            <w:pPr>
              <w:jc w:val="center"/>
              <w:rPr>
                <w:rFonts w:cs="Calibri"/>
              </w:rPr>
            </w:pPr>
            <w:r>
              <w:t>70.05</w:t>
            </w:r>
          </w:p>
        </w:tc>
      </w:tr>
    </w:tbl>
    <w:p w14:paraId="2DED7D01" w14:textId="77777777" w:rsidR="003764B8" w:rsidRDefault="003764B8" w:rsidP="00D35793">
      <w:pPr>
        <w:ind w:firstLine="420"/>
      </w:pPr>
    </w:p>
    <w:p w14:paraId="3315934E" w14:textId="77777777" w:rsidR="00E92112" w:rsidRDefault="00781312" w:rsidP="00E92112">
      <w:pPr>
        <w:widowControl/>
        <w:adjustRightInd/>
        <w:contextualSpacing/>
        <w:jc w:val="both"/>
        <w:rPr>
          <w:rFonts w:cs="Calibri"/>
          <w:b/>
        </w:rPr>
      </w:pPr>
      <w:r w:rsidRPr="001C1E47">
        <w:rPr>
          <w:rFonts w:cs="Calibri"/>
          <w:b/>
        </w:rPr>
        <w:t>New Issues</w:t>
      </w:r>
      <w:r w:rsidR="007E0705">
        <w:rPr>
          <w:rFonts w:cs="Calibri"/>
          <w:b/>
        </w:rPr>
        <w:t xml:space="preserve">:  </w:t>
      </w:r>
    </w:p>
    <w:p w14:paraId="69BEC329" w14:textId="77777777" w:rsidR="00DC146E" w:rsidRDefault="00DC146E" w:rsidP="00486A70">
      <w:pPr>
        <w:jc w:val="both"/>
        <w:rPr>
          <w:rFonts w:eastAsia="Calibri"/>
        </w:rPr>
      </w:pPr>
      <w:bookmarkStart w:id="9" w:name="_Hlk186789152"/>
    </w:p>
    <w:p w14:paraId="75DEA58D" w14:textId="6B7E5CE6" w:rsidR="00E92112" w:rsidRPr="00E92112" w:rsidRDefault="00E92112" w:rsidP="00A23E47">
      <w:pPr>
        <w:rPr>
          <w:rFonts w:eastAsia="Calibri"/>
        </w:rPr>
      </w:pPr>
      <w:r w:rsidRPr="00E92112">
        <w:rPr>
          <w:rFonts w:eastAsia="Calibri"/>
        </w:rPr>
        <w:t>North Carolina elected a new Labor Commissioner, Mr. Luke Farley</w:t>
      </w:r>
      <w:r w:rsidR="00864C5D">
        <w:rPr>
          <w:rFonts w:eastAsia="Calibri"/>
        </w:rPr>
        <w:t>,</w:t>
      </w:r>
      <w:r w:rsidRPr="00E92112">
        <w:rPr>
          <w:rFonts w:eastAsia="Calibri"/>
        </w:rPr>
        <w:t xml:space="preserve"> on Nov 5, 2024. The newly elected Commissioner will</w:t>
      </w:r>
      <w:r w:rsidR="00BE5FE6">
        <w:rPr>
          <w:rFonts w:eastAsia="Calibri"/>
        </w:rPr>
        <w:t xml:space="preserve"> assume</w:t>
      </w:r>
      <w:r w:rsidRPr="00E92112">
        <w:rPr>
          <w:rFonts w:eastAsia="Calibri"/>
        </w:rPr>
        <w:t xml:space="preserve"> office on January 1, 2025.   </w:t>
      </w:r>
      <w:r w:rsidR="000141FC">
        <w:rPr>
          <w:rFonts w:eastAsia="Calibri"/>
        </w:rPr>
        <w:t xml:space="preserve">In addition, </w:t>
      </w:r>
      <w:r w:rsidR="000141FC">
        <w:rPr>
          <w:color w:val="000000"/>
        </w:rPr>
        <w:t>organizational changes within the N</w:t>
      </w:r>
      <w:r w:rsidR="00770799">
        <w:rPr>
          <w:color w:val="000000"/>
        </w:rPr>
        <w:t>.</w:t>
      </w:r>
      <w:r w:rsidR="000141FC">
        <w:rPr>
          <w:color w:val="000000"/>
        </w:rPr>
        <w:t>C</w:t>
      </w:r>
      <w:r w:rsidR="00770799">
        <w:rPr>
          <w:color w:val="000000"/>
        </w:rPr>
        <w:t>.</w:t>
      </w:r>
      <w:r w:rsidR="000141FC">
        <w:rPr>
          <w:color w:val="000000"/>
        </w:rPr>
        <w:t xml:space="preserve"> Department of Labor included Scott Mabry transitioning to Deputy Commissioner and Jennifer Haigwood assuming the role of Chief of Staff.</w:t>
      </w:r>
    </w:p>
    <w:p w14:paraId="10999E7D" w14:textId="798213D8" w:rsidR="003764B8" w:rsidRPr="001C7801" w:rsidRDefault="003764B8" w:rsidP="00E92112">
      <w:pPr>
        <w:widowControl/>
        <w:autoSpaceDE/>
        <w:autoSpaceDN/>
        <w:adjustRightInd/>
        <w:contextualSpacing/>
        <w:rPr>
          <w:rFonts w:cs="Calibri"/>
          <w:b/>
          <w:bCs/>
          <w:iCs/>
        </w:rPr>
      </w:pPr>
    </w:p>
    <w:p w14:paraId="0A29FCDE" w14:textId="40051B71" w:rsidR="00054900" w:rsidRPr="00476C08" w:rsidRDefault="00054900" w:rsidP="00476C08">
      <w:pPr>
        <w:pStyle w:val="Heading2"/>
      </w:pPr>
      <w:bookmarkStart w:id="10" w:name="_Toc118900172"/>
      <w:bookmarkStart w:id="11" w:name="_Toc118905011"/>
      <w:bookmarkStart w:id="12" w:name="_Toc119418665"/>
      <w:bookmarkEnd w:id="9"/>
      <w:r w:rsidRPr="00476C08">
        <w:t xml:space="preserve">Assessment of State Plan </w:t>
      </w:r>
      <w:r w:rsidR="001E2FBB" w:rsidRPr="00476C08">
        <w:t xml:space="preserve">Progress and </w:t>
      </w:r>
      <w:r w:rsidRPr="00476C08">
        <w:t>Performance</w:t>
      </w:r>
      <w:bookmarkEnd w:id="10"/>
      <w:bookmarkEnd w:id="11"/>
      <w:bookmarkEnd w:id="12"/>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3" w:name="_Toc118900173"/>
      <w:bookmarkStart w:id="14" w:name="_Toc118905012"/>
      <w:bookmarkStart w:id="15" w:name="_Toc119418666"/>
      <w:r w:rsidRPr="00C53328">
        <w:t>Data and Methodology</w:t>
      </w:r>
      <w:bookmarkEnd w:id="13"/>
      <w:bookmarkEnd w:id="14"/>
      <w:bookmarkEnd w:id="15"/>
    </w:p>
    <w:p w14:paraId="72EF69F8" w14:textId="77777777" w:rsidR="000A134A" w:rsidRPr="001C1E47" w:rsidRDefault="000A134A" w:rsidP="00783189">
      <w:pPr>
        <w:widowControl/>
        <w:autoSpaceDE/>
        <w:autoSpaceDN/>
        <w:adjustRightInd/>
        <w:ind w:left="1440"/>
        <w:rPr>
          <w:rFonts w:cs="Calibri"/>
          <w:bCs/>
        </w:rPr>
      </w:pPr>
    </w:p>
    <w:p w14:paraId="3EEE3A69" w14:textId="2031A3F4" w:rsidR="005504BC" w:rsidRPr="00A23E47" w:rsidRDefault="000A134A" w:rsidP="00A23E47">
      <w:pPr>
        <w:widowControl/>
        <w:autoSpaceDE/>
        <w:autoSpaceDN/>
        <w:adjustRightInd/>
        <w:rPr>
          <w:rFonts w:cs="Calibri"/>
          <w:bCs/>
        </w:rPr>
      </w:pPr>
      <w:r w:rsidRPr="00A23E47">
        <w:rPr>
          <w:rFonts w:cs="Calibri"/>
          <w:bCs/>
        </w:rPr>
        <w:t>OSHA has established a two-year cycle for the FAME process.  This is the follow-up year</w:t>
      </w:r>
      <w:r w:rsidR="005E3EFB" w:rsidRPr="00A23E47">
        <w:rPr>
          <w:rFonts w:cs="Calibri"/>
          <w:bCs/>
        </w:rPr>
        <w:t>,</w:t>
      </w:r>
      <w:r w:rsidRPr="00A23E47">
        <w:rPr>
          <w:rFonts w:cs="Calibri"/>
          <w:bCs/>
        </w:rPr>
        <w:t xml:space="preserve"> and as such</w:t>
      </w:r>
      <w:r w:rsidR="005E3EFB" w:rsidRPr="00A23E47">
        <w:rPr>
          <w:rFonts w:cs="Calibri"/>
          <w:bCs/>
        </w:rPr>
        <w:t>,</w:t>
      </w:r>
      <w:r w:rsidRPr="00A23E47">
        <w:rPr>
          <w:rFonts w:cs="Calibri"/>
          <w:bCs/>
        </w:rPr>
        <w:t xml:space="preserve"> OSHA did not perform </w:t>
      </w:r>
      <w:r w:rsidR="00957E7E" w:rsidRPr="00A23E47">
        <w:rPr>
          <w:rFonts w:cs="Calibri"/>
          <w:bCs/>
        </w:rPr>
        <w:t>an on</w:t>
      </w:r>
      <w:r w:rsidR="00DC6559" w:rsidRPr="00A23E47">
        <w:rPr>
          <w:rFonts w:cs="Calibri"/>
          <w:bCs/>
        </w:rPr>
        <w:t>-</w:t>
      </w:r>
      <w:r w:rsidR="00957E7E" w:rsidRPr="00A23E47">
        <w:rPr>
          <w:rFonts w:cs="Calibri"/>
          <w:bCs/>
        </w:rPr>
        <w:t>site</w:t>
      </w:r>
      <w:r w:rsidRPr="00A23E47">
        <w:rPr>
          <w:rFonts w:cs="Calibri"/>
          <w:bCs/>
        </w:rPr>
        <w:t xml:space="preserve"> case file review associated with a comprehensive FAME. This strategy allows the State Plan to focus on correcting deficiencies identified in the most recent comprehensive FAME</w:t>
      </w:r>
      <w:r w:rsidR="003A4F3E" w:rsidRPr="00A23E47">
        <w:rPr>
          <w:rFonts w:cs="Calibri"/>
          <w:bCs/>
        </w:rPr>
        <w:t>.</w:t>
      </w:r>
      <w:r w:rsidR="00733729" w:rsidRPr="00A23E47">
        <w:rPr>
          <w:rFonts w:cs="Calibri"/>
          <w:bCs/>
        </w:rPr>
        <w:t xml:space="preserve">  </w:t>
      </w:r>
      <w:r w:rsidR="005504BC" w:rsidRPr="00A23E47">
        <w:rPr>
          <w:rFonts w:cs="Calibri"/>
          <w:bCs/>
        </w:rPr>
        <w:t>The analyses and conclusions described in this report are based on information obtained from a variety of monitoring sources, including:</w:t>
      </w:r>
    </w:p>
    <w:p w14:paraId="54439AF2" w14:textId="77777777" w:rsidR="005504BC" w:rsidRPr="00A23E47" w:rsidRDefault="005504BC" w:rsidP="00A23E47">
      <w:pPr>
        <w:widowControl/>
        <w:autoSpaceDE/>
        <w:autoSpaceDN/>
        <w:adjustRightInd/>
        <w:rPr>
          <w:rFonts w:cs="Calibri"/>
          <w:bCs/>
        </w:rPr>
      </w:pPr>
    </w:p>
    <w:p w14:paraId="409C16B9" w14:textId="62BEE527" w:rsidR="005504BC" w:rsidRPr="00A23E47" w:rsidRDefault="005504BC" w:rsidP="00A23E47">
      <w:pPr>
        <w:pStyle w:val="ListParagraph"/>
        <w:numPr>
          <w:ilvl w:val="0"/>
          <w:numId w:val="7"/>
        </w:numPr>
        <w:spacing w:after="0" w:line="240" w:lineRule="auto"/>
        <w:rPr>
          <w:bCs/>
        </w:rPr>
      </w:pPr>
      <w:r w:rsidRPr="00A23E47">
        <w:rPr>
          <w:bCs/>
          <w:sz w:val="24"/>
          <w:szCs w:val="24"/>
        </w:rPr>
        <w:t xml:space="preserve">State Activity Mandated Measures </w:t>
      </w:r>
      <w:r w:rsidR="00E7030A" w:rsidRPr="00A23E47">
        <w:rPr>
          <w:bCs/>
          <w:sz w:val="24"/>
          <w:szCs w:val="24"/>
        </w:rPr>
        <w:t xml:space="preserve">(SAMM) </w:t>
      </w:r>
      <w:r w:rsidRPr="00A23E47">
        <w:rPr>
          <w:bCs/>
          <w:sz w:val="24"/>
          <w:szCs w:val="24"/>
        </w:rPr>
        <w:t xml:space="preserve">Report </w:t>
      </w:r>
    </w:p>
    <w:p w14:paraId="3F2084C2" w14:textId="173A9EF0" w:rsidR="00FF4AE2" w:rsidRPr="00A23E47" w:rsidRDefault="00FF4AE2" w:rsidP="00A23E47">
      <w:pPr>
        <w:pStyle w:val="ListParagraph"/>
        <w:numPr>
          <w:ilvl w:val="0"/>
          <w:numId w:val="7"/>
        </w:numPr>
        <w:spacing w:after="0" w:line="240" w:lineRule="auto"/>
        <w:rPr>
          <w:bCs/>
        </w:rPr>
      </w:pPr>
      <w:r w:rsidRPr="00A23E47">
        <w:rPr>
          <w:bCs/>
          <w:sz w:val="24"/>
          <w:szCs w:val="24"/>
        </w:rPr>
        <w:t xml:space="preserve">State Information Report </w:t>
      </w:r>
      <w:r w:rsidR="00185C7D" w:rsidRPr="00A23E47">
        <w:rPr>
          <w:bCs/>
          <w:sz w:val="24"/>
          <w:szCs w:val="24"/>
        </w:rPr>
        <w:t>(SIR)</w:t>
      </w:r>
    </w:p>
    <w:p w14:paraId="5D91E03D" w14:textId="4A6359F9" w:rsidR="00FF4AE2" w:rsidRPr="00A23E47" w:rsidRDefault="00FF4AE2" w:rsidP="00A23E47">
      <w:pPr>
        <w:pStyle w:val="ListParagraph"/>
        <w:numPr>
          <w:ilvl w:val="0"/>
          <w:numId w:val="7"/>
        </w:numPr>
        <w:spacing w:after="0" w:line="240" w:lineRule="auto"/>
        <w:rPr>
          <w:bCs/>
        </w:rPr>
      </w:pPr>
      <w:r w:rsidRPr="00A23E47">
        <w:rPr>
          <w:bCs/>
          <w:sz w:val="24"/>
          <w:szCs w:val="24"/>
        </w:rPr>
        <w:t xml:space="preserve">Mandated Activities Report for Consultation </w:t>
      </w:r>
      <w:r w:rsidR="00185C7D" w:rsidRPr="00A23E47">
        <w:rPr>
          <w:bCs/>
          <w:sz w:val="24"/>
          <w:szCs w:val="24"/>
        </w:rPr>
        <w:t>(MARC)</w:t>
      </w:r>
    </w:p>
    <w:p w14:paraId="4054753A" w14:textId="27FD50A2" w:rsidR="00FF4AE2" w:rsidRPr="00A23E47" w:rsidRDefault="00FF4AE2" w:rsidP="00A23E47">
      <w:pPr>
        <w:pStyle w:val="ListParagraph"/>
        <w:numPr>
          <w:ilvl w:val="0"/>
          <w:numId w:val="7"/>
        </w:numPr>
        <w:spacing w:after="0" w:line="240" w:lineRule="auto"/>
        <w:rPr>
          <w:bCs/>
        </w:rPr>
      </w:pPr>
      <w:r w:rsidRPr="00A23E47">
        <w:rPr>
          <w:bCs/>
          <w:sz w:val="24"/>
          <w:szCs w:val="24"/>
        </w:rPr>
        <w:t xml:space="preserve">State OSHA Annual Report </w:t>
      </w:r>
      <w:r w:rsidR="0061362E" w:rsidRPr="00A23E47">
        <w:rPr>
          <w:bCs/>
          <w:sz w:val="24"/>
          <w:szCs w:val="24"/>
        </w:rPr>
        <w:t>(SOAR)</w:t>
      </w:r>
    </w:p>
    <w:p w14:paraId="03220F96" w14:textId="3137FC53" w:rsidR="00FF4AE2" w:rsidRPr="00A23E47" w:rsidRDefault="00FF4AE2" w:rsidP="00A23E47">
      <w:pPr>
        <w:pStyle w:val="ListParagraph"/>
        <w:numPr>
          <w:ilvl w:val="0"/>
          <w:numId w:val="7"/>
        </w:numPr>
        <w:spacing w:after="0" w:line="240" w:lineRule="auto"/>
        <w:rPr>
          <w:bCs/>
        </w:rPr>
      </w:pPr>
      <w:r w:rsidRPr="00A23E47">
        <w:rPr>
          <w:bCs/>
          <w:sz w:val="24"/>
          <w:szCs w:val="24"/>
        </w:rPr>
        <w:t>State Plan Annual Performance Plan</w:t>
      </w:r>
      <w:r w:rsidR="0061362E" w:rsidRPr="00A23E47">
        <w:rPr>
          <w:bCs/>
          <w:sz w:val="24"/>
          <w:szCs w:val="24"/>
        </w:rPr>
        <w:t xml:space="preserve"> (APP)</w:t>
      </w:r>
    </w:p>
    <w:p w14:paraId="4CBC94FB" w14:textId="77777777" w:rsidR="00FF4AE2" w:rsidRPr="00A23E47" w:rsidRDefault="00FF4AE2" w:rsidP="00A23E47">
      <w:pPr>
        <w:pStyle w:val="ListParagraph"/>
        <w:numPr>
          <w:ilvl w:val="0"/>
          <w:numId w:val="7"/>
        </w:numPr>
        <w:spacing w:after="0" w:line="240" w:lineRule="auto"/>
        <w:rPr>
          <w:bCs/>
        </w:rPr>
      </w:pPr>
      <w:r w:rsidRPr="00A23E47">
        <w:rPr>
          <w:bCs/>
          <w:sz w:val="24"/>
          <w:szCs w:val="24"/>
        </w:rPr>
        <w:t xml:space="preserve">State Plan Grant </w:t>
      </w:r>
      <w:r w:rsidR="00DC6559" w:rsidRPr="00A23E47">
        <w:rPr>
          <w:bCs/>
          <w:sz w:val="24"/>
          <w:szCs w:val="24"/>
        </w:rPr>
        <w:t>A</w:t>
      </w:r>
      <w:r w:rsidRPr="00A23E47">
        <w:rPr>
          <w:bCs/>
          <w:sz w:val="24"/>
          <w:szCs w:val="24"/>
        </w:rPr>
        <w:t xml:space="preserve">pplication </w:t>
      </w:r>
    </w:p>
    <w:p w14:paraId="79AC3075" w14:textId="77777777" w:rsidR="00FF4AE2" w:rsidRPr="00A23E47" w:rsidRDefault="00FF4AE2" w:rsidP="00A23E47">
      <w:pPr>
        <w:pStyle w:val="ListParagraph"/>
        <w:numPr>
          <w:ilvl w:val="0"/>
          <w:numId w:val="7"/>
        </w:numPr>
        <w:spacing w:after="0" w:line="240" w:lineRule="auto"/>
        <w:rPr>
          <w:bCs/>
        </w:rPr>
      </w:pPr>
      <w:r w:rsidRPr="00A23E47">
        <w:rPr>
          <w:bCs/>
          <w:sz w:val="24"/>
          <w:szCs w:val="24"/>
        </w:rPr>
        <w:t>Quarterly monitoring meetings between OSHA and the State Plan</w:t>
      </w:r>
    </w:p>
    <w:p w14:paraId="015B9900" w14:textId="498C89E6" w:rsidR="000D3789" w:rsidRPr="00A23E47" w:rsidRDefault="000D3789" w:rsidP="00A23E47">
      <w:pPr>
        <w:pStyle w:val="ListParagraph"/>
        <w:numPr>
          <w:ilvl w:val="0"/>
          <w:numId w:val="7"/>
        </w:numPr>
        <w:spacing w:after="0" w:line="240" w:lineRule="auto"/>
        <w:rPr>
          <w:bCs/>
        </w:rPr>
      </w:pPr>
      <w:r w:rsidRPr="00A23E47">
        <w:rPr>
          <w:bCs/>
          <w:sz w:val="24"/>
          <w:szCs w:val="24"/>
        </w:rPr>
        <w:t>Limited</w:t>
      </w:r>
      <w:r w:rsidR="001A3F0B" w:rsidRPr="00A23E47">
        <w:rPr>
          <w:bCs/>
          <w:sz w:val="24"/>
          <w:szCs w:val="24"/>
        </w:rPr>
        <w:t xml:space="preserve"> case file review</w:t>
      </w:r>
    </w:p>
    <w:p w14:paraId="7EA0158E" w14:textId="77777777" w:rsidR="001E2FBB" w:rsidRDefault="001E2FBB" w:rsidP="00A23E47">
      <w:pPr>
        <w:widowControl/>
        <w:autoSpaceDE/>
        <w:autoSpaceDN/>
        <w:adjustRightInd/>
        <w:rPr>
          <w:rFonts w:cs="Calibri"/>
          <w:bCs/>
          <w:i/>
        </w:rPr>
      </w:pPr>
    </w:p>
    <w:p w14:paraId="5E67DDEC" w14:textId="77777777" w:rsidR="000A134A" w:rsidRPr="001C1E47" w:rsidRDefault="000A134A" w:rsidP="0061362E">
      <w:pPr>
        <w:pStyle w:val="Heading3"/>
      </w:pPr>
      <w:bookmarkStart w:id="16" w:name="_Toc118900174"/>
      <w:bookmarkStart w:id="17" w:name="_Toc118905013"/>
      <w:bookmarkStart w:id="18" w:name="_Toc119418667"/>
      <w:r w:rsidRPr="001C1E47">
        <w:t>Findings and Observations</w:t>
      </w:r>
      <w:bookmarkEnd w:id="16"/>
      <w:bookmarkEnd w:id="17"/>
      <w:bookmarkEnd w:id="18"/>
    </w:p>
    <w:p w14:paraId="5A952A6F" w14:textId="77777777" w:rsidR="001E2FBB" w:rsidRPr="001C1E47" w:rsidRDefault="001E2FBB" w:rsidP="00783189">
      <w:pPr>
        <w:widowControl/>
        <w:autoSpaceDE/>
        <w:autoSpaceDN/>
        <w:adjustRightInd/>
        <w:jc w:val="center"/>
        <w:rPr>
          <w:rFonts w:cs="Calibri"/>
          <w:i/>
          <w:highlight w:val="cyan"/>
        </w:rPr>
      </w:pPr>
    </w:p>
    <w:p w14:paraId="2789CCA0" w14:textId="087D4B8C" w:rsidR="00E71FB7" w:rsidRDefault="00E71FB7" w:rsidP="0062103E">
      <w:pPr>
        <w:pStyle w:val="Heading4"/>
      </w:pPr>
      <w:bookmarkStart w:id="19" w:name="_Toc118900175"/>
      <w:bookmarkStart w:id="20" w:name="_Toc118905014"/>
      <w:r w:rsidRPr="001C1E47">
        <w:t>Findings</w:t>
      </w:r>
      <w:r w:rsidR="00443054" w:rsidRPr="001C1E47">
        <w:t xml:space="preserve"> (Status of Previous and New Items)</w:t>
      </w:r>
      <w:bookmarkEnd w:id="19"/>
      <w:bookmarkEnd w:id="20"/>
    </w:p>
    <w:p w14:paraId="30349D1C" w14:textId="77777777" w:rsidR="001C7801" w:rsidRDefault="001C7801" w:rsidP="001C7801">
      <w:pPr>
        <w:rPr>
          <w:highlight w:val="yellow"/>
        </w:rPr>
      </w:pPr>
    </w:p>
    <w:p w14:paraId="492E2911" w14:textId="31F29387" w:rsidR="001C7801" w:rsidRPr="00CC0409" w:rsidRDefault="001C7801" w:rsidP="001C7801">
      <w:r w:rsidRPr="00CC0409">
        <w:t>None</w:t>
      </w:r>
    </w:p>
    <w:p w14:paraId="6C7BE9F8" w14:textId="77777777" w:rsidR="00E71FB7" w:rsidRPr="001C1E47" w:rsidRDefault="00E71FB7" w:rsidP="00783189">
      <w:pPr>
        <w:widowControl/>
        <w:autoSpaceDE/>
        <w:autoSpaceDN/>
        <w:adjustRightInd/>
        <w:rPr>
          <w:rFonts w:cs="Calibri"/>
          <w:highlight w:val="yellow"/>
          <w:u w:val="single"/>
        </w:rPr>
      </w:pPr>
    </w:p>
    <w:p w14:paraId="49B482D8" w14:textId="77777777" w:rsidR="00443054" w:rsidRPr="001C1E47" w:rsidRDefault="00443054" w:rsidP="00E44D46">
      <w:pPr>
        <w:pStyle w:val="Heading4"/>
        <w:rPr>
          <w:b w:val="0"/>
        </w:rPr>
      </w:pPr>
      <w:bookmarkStart w:id="21" w:name="_Toc118900176"/>
      <w:bookmarkStart w:id="22" w:name="_Toc118905015"/>
      <w:r w:rsidRPr="001C1E47">
        <w:t>Observations</w:t>
      </w:r>
      <w:bookmarkEnd w:id="21"/>
      <w:bookmarkEnd w:id="22"/>
    </w:p>
    <w:p w14:paraId="2D0C820B" w14:textId="77777777" w:rsidR="005C1BFC" w:rsidRPr="001C1E47" w:rsidRDefault="005C1BFC" w:rsidP="00783189">
      <w:pPr>
        <w:widowControl/>
        <w:autoSpaceDE/>
        <w:autoSpaceDN/>
        <w:adjustRightInd/>
        <w:rPr>
          <w:rFonts w:cs="Calibri"/>
          <w:bCs/>
          <w:highlight w:val="yellow"/>
          <w:u w:val="single"/>
        </w:rPr>
      </w:pPr>
    </w:p>
    <w:p w14:paraId="7C2F3EA1" w14:textId="3239FE47" w:rsidR="005E038B" w:rsidRPr="00CC0409" w:rsidRDefault="001C7801" w:rsidP="00783189">
      <w:pPr>
        <w:widowControl/>
        <w:autoSpaceDE/>
        <w:autoSpaceDN/>
        <w:adjustRightInd/>
        <w:rPr>
          <w:rFonts w:cs="Calibri"/>
          <w:bCs/>
        </w:rPr>
      </w:pPr>
      <w:r w:rsidRPr="00CC0409">
        <w:rPr>
          <w:rFonts w:cs="Calibri"/>
          <w:bCs/>
        </w:rPr>
        <w:t>None</w:t>
      </w:r>
    </w:p>
    <w:p w14:paraId="12A9E62A" w14:textId="77777777" w:rsidR="00E92112" w:rsidRPr="001C7801" w:rsidRDefault="00E92112" w:rsidP="00783189">
      <w:pPr>
        <w:widowControl/>
        <w:autoSpaceDE/>
        <w:autoSpaceDN/>
        <w:adjustRightInd/>
        <w:rPr>
          <w:rFonts w:cs="Calibri"/>
          <w:b/>
        </w:rPr>
      </w:pPr>
    </w:p>
    <w:p w14:paraId="3B828F9D" w14:textId="6C45BA5D" w:rsidR="00F132A8" w:rsidRPr="0061362E" w:rsidRDefault="00F132A8" w:rsidP="0061362E">
      <w:pPr>
        <w:pStyle w:val="Heading3"/>
      </w:pPr>
      <w:bookmarkStart w:id="23" w:name="_Toc118900177"/>
      <w:bookmarkStart w:id="24" w:name="_Toc118905016"/>
      <w:bookmarkStart w:id="25" w:name="_Toc119418668"/>
      <w:r w:rsidRPr="0061362E">
        <w:t>State Activity Mandated Measures (SAMM)</w:t>
      </w:r>
      <w:r w:rsidR="00A243D6" w:rsidRPr="0061362E">
        <w:t xml:space="preserve"> Highlights</w:t>
      </w:r>
      <w:bookmarkEnd w:id="23"/>
      <w:bookmarkEnd w:id="24"/>
      <w:bookmarkEnd w:id="25"/>
    </w:p>
    <w:p w14:paraId="1ACC4DE2" w14:textId="77777777" w:rsidR="00F132A8" w:rsidRPr="001C1E47" w:rsidRDefault="00F132A8" w:rsidP="00783189">
      <w:pPr>
        <w:widowControl/>
        <w:autoSpaceDE/>
        <w:autoSpaceDN/>
        <w:adjustRightInd/>
        <w:ind w:left="720"/>
        <w:contextualSpacing/>
        <w:rPr>
          <w:rFonts w:cs="Calibri"/>
          <w:sz w:val="28"/>
          <w:szCs w:val="28"/>
        </w:rPr>
      </w:pPr>
    </w:p>
    <w:p w14:paraId="502774D6" w14:textId="6FAFC981" w:rsidR="002966F6" w:rsidRDefault="00EC7600" w:rsidP="00A23E47">
      <w:pPr>
        <w:widowControl/>
        <w:autoSpaceDE/>
        <w:adjustRightInd/>
        <w:rPr>
          <w:rFonts w:cs="Calibri"/>
        </w:rPr>
      </w:pPr>
      <w:r w:rsidRPr="001C1E47">
        <w:rPr>
          <w:rFonts w:cs="Calibri"/>
        </w:rPr>
        <w:t>Each SAMM has an agreed upon</w:t>
      </w:r>
      <w:r w:rsidR="00EF3923">
        <w:rPr>
          <w:rFonts w:cs="Calibri"/>
        </w:rPr>
        <w:t xml:space="preserve"> federal review level (</w:t>
      </w:r>
      <w:r w:rsidR="00D7654E" w:rsidRPr="001C1E47">
        <w:rPr>
          <w:rFonts w:cs="Calibri"/>
        </w:rPr>
        <w:t>FRL</w:t>
      </w:r>
      <w:r w:rsidR="00EF3923">
        <w:rPr>
          <w:rFonts w:cs="Calibri"/>
        </w:rPr>
        <w:t>),</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C47BE9">
        <w:rPr>
          <w:rFonts w:cs="Calibri"/>
        </w:rPr>
        <w:t>24</w:t>
      </w:r>
      <w:r w:rsidR="005D1F76" w:rsidRPr="001C1E47">
        <w:rPr>
          <w:rFonts w:cs="Calibri"/>
        </w:rPr>
        <w:t xml:space="preserve"> State Activity Mandated Measures (SAMM) Report and includes the FRLs for each measure. </w:t>
      </w:r>
    </w:p>
    <w:p w14:paraId="44A3AB01" w14:textId="77777777" w:rsidR="002966F6" w:rsidRDefault="002966F6" w:rsidP="00A23E47">
      <w:pPr>
        <w:widowControl/>
        <w:autoSpaceDE/>
        <w:adjustRightInd/>
        <w:rPr>
          <w:rFonts w:cs="Calibri"/>
        </w:rPr>
      </w:pPr>
    </w:p>
    <w:p w14:paraId="75AF2501" w14:textId="36FA8A98" w:rsidR="00EC7600" w:rsidRPr="001C1E47" w:rsidRDefault="00EC7600" w:rsidP="00A23E47">
      <w:pPr>
        <w:widowControl/>
        <w:autoSpaceDE/>
        <w:adjustRightInd/>
        <w:rPr>
          <w:rFonts w:cs="Calibri"/>
        </w:rPr>
      </w:pPr>
      <w:r w:rsidRPr="001C1E47">
        <w:rPr>
          <w:rFonts w:cs="Calibri"/>
        </w:rPr>
        <w:t>The State Plan was outside the FRL on the following SAMMs:</w:t>
      </w:r>
    </w:p>
    <w:p w14:paraId="5B2B946B" w14:textId="77777777" w:rsidR="00A02B33" w:rsidRPr="001C1E47" w:rsidRDefault="00A02B33" w:rsidP="00A23E47">
      <w:pPr>
        <w:widowControl/>
        <w:autoSpaceDE/>
        <w:adjustRightInd/>
        <w:rPr>
          <w:rFonts w:cs="Calibri"/>
          <w:b/>
          <w:u w:val="single"/>
        </w:rPr>
      </w:pPr>
    </w:p>
    <w:p w14:paraId="13F784B5" w14:textId="77777777" w:rsidR="00E82406" w:rsidRPr="003B201E" w:rsidRDefault="00E82406" w:rsidP="0031397F">
      <w:pPr>
        <w:widowControl/>
        <w:autoSpaceDE/>
        <w:autoSpaceDN/>
        <w:adjustRightInd/>
        <w:jc w:val="both"/>
        <w:rPr>
          <w:b/>
          <w:bCs/>
        </w:rPr>
      </w:pPr>
      <w:r w:rsidRPr="003B201E">
        <w:rPr>
          <w:b/>
          <w:bCs/>
        </w:rPr>
        <w:t xml:space="preserve">SAMM 7 – Planned v. Actual Inspections </w:t>
      </w:r>
    </w:p>
    <w:p w14:paraId="19AACF8D" w14:textId="77777777" w:rsidR="00E82406" w:rsidRPr="003B201E" w:rsidRDefault="00E82406" w:rsidP="0031397F">
      <w:pPr>
        <w:widowControl/>
        <w:autoSpaceDE/>
        <w:autoSpaceDN/>
        <w:adjustRightInd/>
        <w:jc w:val="both"/>
      </w:pPr>
    </w:p>
    <w:p w14:paraId="43EDFE20" w14:textId="7EEB8108" w:rsidR="00A228AB" w:rsidRPr="00486A70" w:rsidRDefault="00E82406" w:rsidP="00A23E47">
      <w:bookmarkStart w:id="26" w:name="_Hlk187134644"/>
      <w:r w:rsidRPr="004B0ECE">
        <w:rPr>
          <w:rFonts w:cs="Calibri"/>
          <w:b/>
          <w:bCs/>
          <w:u w:val="single"/>
        </w:rPr>
        <w:t>Discussion of State Plan Data and Further Review Level (FRL)</w:t>
      </w:r>
      <w:r w:rsidRPr="004B0ECE">
        <w:rPr>
          <w:rFonts w:cs="Calibri"/>
          <w:u w:val="single"/>
        </w:rPr>
        <w:t>:</w:t>
      </w:r>
      <w:r w:rsidRPr="003B201E">
        <w:rPr>
          <w:rFonts w:cs="Calibri"/>
        </w:rPr>
        <w:t xml:space="preserve"> </w:t>
      </w:r>
      <w:bookmarkStart w:id="27" w:name="_Hlk187136874"/>
      <w:r w:rsidR="00A228AB" w:rsidRPr="00486A70">
        <w:t xml:space="preserve">In FY 2024, the number of inspections conducted by the </w:t>
      </w:r>
      <w:r w:rsidR="00E31A50">
        <w:t>OSHNC</w:t>
      </w:r>
      <w:r w:rsidR="00A228AB" w:rsidRPr="00486A70">
        <w:t xml:space="preserve"> slightly decreased but remained within range for the SAMM 17 enforcement presence metric. A total of 1,675 </w:t>
      </w:r>
      <w:r w:rsidR="00486A70" w:rsidRPr="00486A70">
        <w:t>i</w:t>
      </w:r>
      <w:r w:rsidR="00A228AB" w:rsidRPr="00486A70">
        <w:t>nspections were conducted, which was 98.5% of the planned goal of 1,700.</w:t>
      </w:r>
      <w:bookmarkEnd w:id="27"/>
      <w:r w:rsidR="00486A70" w:rsidRPr="00486A70">
        <w:t xml:space="preserve">  This included 611 health inspections, below the goal of 670, and 1,064 safety inspections, exceeding the goal of 1,030.</w:t>
      </w:r>
      <w:r w:rsidR="00F848A0">
        <w:t xml:space="preserve"> </w:t>
      </w:r>
      <w:r w:rsidR="00F848A0" w:rsidRPr="00F90EFA">
        <w:t xml:space="preserve">The FRL for health inspections </w:t>
      </w:r>
      <w:r w:rsidR="00F848A0">
        <w:t xml:space="preserve">conducted </w:t>
      </w:r>
      <w:r w:rsidR="00F848A0" w:rsidRPr="00F90EFA">
        <w:t xml:space="preserve">is +/- </w:t>
      </w:r>
      <w:r w:rsidR="00F848A0">
        <w:t>5</w:t>
      </w:r>
      <w:r w:rsidR="00F848A0" w:rsidRPr="00F90EFA">
        <w:t xml:space="preserve">% of </w:t>
      </w:r>
      <w:r w:rsidR="00F848A0">
        <w:t>670 inspections</w:t>
      </w:r>
      <w:r w:rsidR="00EF3923">
        <w:t>,</w:t>
      </w:r>
      <w:r w:rsidR="00F848A0">
        <w:t xml:space="preserve"> </w:t>
      </w:r>
      <w:r w:rsidR="00F848A0" w:rsidRPr="00F90EFA">
        <w:t xml:space="preserve">which equals a range of </w:t>
      </w:r>
      <w:r w:rsidR="00F848A0">
        <w:t>637</w:t>
      </w:r>
      <w:r w:rsidR="00F848A0" w:rsidRPr="00F90EFA">
        <w:rPr>
          <w:rFonts w:asciiTheme="minorHAnsi" w:hAnsiTheme="minorHAnsi" w:cstheme="minorHAnsi"/>
        </w:rPr>
        <w:t xml:space="preserve"> to </w:t>
      </w:r>
      <w:r w:rsidR="00F848A0">
        <w:rPr>
          <w:rFonts w:asciiTheme="minorHAnsi" w:hAnsiTheme="minorHAnsi" w:cstheme="minorHAnsi"/>
        </w:rPr>
        <w:t xml:space="preserve">704 </w:t>
      </w:r>
      <w:r w:rsidR="00F848A0" w:rsidRPr="00F90EFA">
        <w:rPr>
          <w:rFonts w:asciiTheme="minorHAnsi" w:hAnsiTheme="minorHAnsi" w:cstheme="minorHAnsi"/>
        </w:rPr>
        <w:t>for health.</w:t>
      </w:r>
    </w:p>
    <w:p w14:paraId="59ABF4A3" w14:textId="77777777" w:rsidR="00486A70" w:rsidRPr="00486A70" w:rsidRDefault="00486A70" w:rsidP="00A23E47"/>
    <w:bookmarkEnd w:id="26"/>
    <w:p w14:paraId="6BC41B89" w14:textId="3750D2A4" w:rsidR="001F28FA" w:rsidRDefault="00E82406" w:rsidP="00A23E47">
      <w:r w:rsidRPr="004B0ECE">
        <w:rPr>
          <w:b/>
          <w:bCs/>
          <w:u w:val="single"/>
        </w:rPr>
        <w:t>Explanation:</w:t>
      </w:r>
      <w:r w:rsidRPr="003B201E">
        <w:t xml:space="preserve"> </w:t>
      </w:r>
      <w:r w:rsidR="00E31A50" w:rsidRPr="00DF2A45">
        <w:t>OSHNC</w:t>
      </w:r>
      <w:r w:rsidR="001F28FA" w:rsidRPr="001F28FA">
        <w:t xml:space="preserve"> continues to face challenges in attracting and retaining safety and health professionals due to noncompetitive salaries. Although a State Fiscal Year (SFY) 2024 budget request for a graduated salary scale was submitted, it was not included in the revised budget. The Division is exploring internal budget options to raise salaries for existing staff. To address these challenges, the Division is working with the General Assembly and prioritizing salary issues in the new administration.</w:t>
      </w:r>
    </w:p>
    <w:p w14:paraId="5BE4A5DE" w14:textId="77777777" w:rsidR="001F28FA" w:rsidRPr="001F28FA" w:rsidRDefault="001F28FA" w:rsidP="00A23E47"/>
    <w:p w14:paraId="5D6147C3" w14:textId="6D0FD2AB" w:rsidR="001F28FA" w:rsidRDefault="001F28FA" w:rsidP="00A23E47">
      <w:r w:rsidRPr="001F28FA">
        <w:t xml:space="preserve">As part of the </w:t>
      </w:r>
      <w:r>
        <w:t xml:space="preserve">State FY </w:t>
      </w:r>
      <w:r w:rsidRPr="001F28FA">
        <w:t xml:space="preserve">2023 biennial budget, a 3% across-the-board salary increase for all </w:t>
      </w:r>
      <w:r w:rsidR="00BC31DF">
        <w:t>S</w:t>
      </w:r>
      <w:r w:rsidRPr="001F28FA">
        <w:t xml:space="preserve">tate employees was implemented in July 2024. Compliance officers also received a 3% increase to help close the salary gap with private sector. Additionally, changes were made to the pay grade and posting language for safety and industrial hygienist trainee positions, allowing candidates with relevant degrees but no experience to be hired at a competitive salary. This program has been successful, with several trainees expected to become </w:t>
      </w:r>
      <w:r w:rsidR="0093689E">
        <w:t>fully qualified</w:t>
      </w:r>
      <w:r w:rsidRPr="001F28FA">
        <w:t xml:space="preserve"> by FY 2025.</w:t>
      </w:r>
    </w:p>
    <w:p w14:paraId="0C0EA52D" w14:textId="77777777" w:rsidR="001F28FA" w:rsidRPr="001F28FA" w:rsidRDefault="001F28FA" w:rsidP="00A23E47"/>
    <w:p w14:paraId="780ADA61" w14:textId="3322DA4F" w:rsidR="001F28FA" w:rsidRDefault="001F28FA" w:rsidP="00A23E47">
      <w:r w:rsidRPr="001F28FA">
        <w:t>The</w:t>
      </w:r>
      <w:r w:rsidR="00E31A50">
        <w:t xml:space="preserve"> </w:t>
      </w:r>
      <w:r w:rsidR="00E31A50" w:rsidRPr="00DF2A45">
        <w:t>State Plan</w:t>
      </w:r>
      <w:r w:rsidRPr="001F28FA">
        <w:t xml:space="preserve"> has also introduced internal policies to offer salary adjustments for professional certifications, further supporting recruitment and retention efforts by making salaries more competitive with the private sector.</w:t>
      </w:r>
    </w:p>
    <w:p w14:paraId="4E5C97D2" w14:textId="77777777" w:rsidR="00CC0409" w:rsidRDefault="00CC0409" w:rsidP="00A23E47"/>
    <w:p w14:paraId="7BFC110E" w14:textId="6D10BD4E" w:rsidR="00CC0409" w:rsidRDefault="00CC0409" w:rsidP="00A23E47">
      <w:r>
        <w:t xml:space="preserve">In addition, </w:t>
      </w:r>
      <w:r w:rsidRPr="00CC0409">
        <w:t xml:space="preserve">OSHA recognizes the potential impact caused by reducing the fiscal year 2024 State Plan 23(g) grant funding during the last quarter of the fiscal year. In addition, at the start of FY 2025, OSHA implemented a new set of SAMMs using a FRL of -20% of the negotiated number for health inspections. Even though these SAMMs were not in effect for FY 2024, it is notable that OSHNC’s 611 health inspections would have been above the FRL of 536 under this new set of measures. For </w:t>
      </w:r>
      <w:proofErr w:type="gramStart"/>
      <w:r w:rsidRPr="00CC0409">
        <w:t>all of</w:t>
      </w:r>
      <w:proofErr w:type="gramEnd"/>
      <w:r w:rsidRPr="00CC0409">
        <w:t xml:space="preserve"> these reasons, OSHA will not make this issue a finding or observation and will continue to monitor during quarterly meetings.</w:t>
      </w:r>
    </w:p>
    <w:p w14:paraId="0572F2E9" w14:textId="77777777" w:rsidR="00BF75BA" w:rsidRPr="001F28FA" w:rsidRDefault="00BF75BA" w:rsidP="00A23E47"/>
    <w:p w14:paraId="161670FD" w14:textId="77777777" w:rsidR="002D037E" w:rsidRDefault="002D037E" w:rsidP="00486A70">
      <w:pPr>
        <w:jc w:val="both"/>
        <w:rPr>
          <w:rFonts w:cs="Calibri"/>
          <w:b/>
        </w:rPr>
      </w:pPr>
    </w:p>
    <w:p w14:paraId="31E9ACDB" w14:textId="1D16FDE1" w:rsidR="00EC7600" w:rsidRPr="00E92112" w:rsidRDefault="00EC7600" w:rsidP="00486A70">
      <w:pPr>
        <w:jc w:val="both"/>
        <w:rPr>
          <w:rFonts w:cs="Calibri"/>
          <w:b/>
        </w:rPr>
      </w:pPr>
      <w:r w:rsidRPr="00E92112">
        <w:rPr>
          <w:rFonts w:cs="Calibri"/>
          <w:b/>
        </w:rPr>
        <w:t xml:space="preserve">SAMM 9 – Percent </w:t>
      </w:r>
      <w:r w:rsidR="00476C08" w:rsidRPr="00E92112">
        <w:rPr>
          <w:rFonts w:cs="Calibri"/>
          <w:b/>
        </w:rPr>
        <w:t>I</w:t>
      </w:r>
      <w:r w:rsidRPr="00E92112">
        <w:rPr>
          <w:rFonts w:cs="Calibri"/>
          <w:b/>
        </w:rPr>
        <w:t>n</w:t>
      </w:r>
      <w:r w:rsidR="00C70077" w:rsidRPr="00E92112">
        <w:rPr>
          <w:rFonts w:cs="Calibri"/>
          <w:b/>
        </w:rPr>
        <w:t>-</w:t>
      </w:r>
      <w:r w:rsidR="00E7030A" w:rsidRPr="00E92112">
        <w:rPr>
          <w:rFonts w:cs="Calibri"/>
          <w:b/>
        </w:rPr>
        <w:t>C</w:t>
      </w:r>
      <w:r w:rsidRPr="00E92112">
        <w:rPr>
          <w:rFonts w:cs="Calibri"/>
          <w:b/>
        </w:rPr>
        <w:t>ompliance</w:t>
      </w:r>
    </w:p>
    <w:p w14:paraId="6C991B2F" w14:textId="77777777" w:rsidR="00EC7600" w:rsidRPr="001C1E47" w:rsidRDefault="00EC7600" w:rsidP="00486A70">
      <w:pPr>
        <w:jc w:val="both"/>
        <w:rPr>
          <w:rFonts w:cs="Calibri"/>
        </w:rPr>
      </w:pPr>
    </w:p>
    <w:p w14:paraId="1018FCE4" w14:textId="2F0EB401" w:rsidR="005F71A2" w:rsidRPr="00A23E47" w:rsidRDefault="005D1F76" w:rsidP="00A23E47">
      <w:pPr>
        <w:rPr>
          <w:rFonts w:cs="Calibri"/>
        </w:rPr>
      </w:pPr>
      <w:r w:rsidRPr="00A23E47">
        <w:rPr>
          <w:rFonts w:cs="Calibri"/>
          <w:b/>
          <w:bCs/>
          <w:u w:val="single"/>
        </w:rPr>
        <w:t xml:space="preserve">Discussion of </w:t>
      </w:r>
      <w:r w:rsidR="003F2E2D" w:rsidRPr="00A23E47">
        <w:rPr>
          <w:rFonts w:cs="Calibri"/>
          <w:b/>
          <w:bCs/>
          <w:u w:val="single"/>
        </w:rPr>
        <w:t>State</w:t>
      </w:r>
      <w:r w:rsidR="00391D6F" w:rsidRPr="00A23E47">
        <w:rPr>
          <w:rFonts w:cs="Calibri"/>
          <w:b/>
          <w:bCs/>
          <w:u w:val="single"/>
        </w:rPr>
        <w:t xml:space="preserve"> Plan </w:t>
      </w:r>
      <w:r w:rsidR="00476C08" w:rsidRPr="00A23E47">
        <w:rPr>
          <w:rFonts w:cs="Calibri"/>
          <w:b/>
          <w:bCs/>
          <w:u w:val="single"/>
        </w:rPr>
        <w:t>D</w:t>
      </w:r>
      <w:r w:rsidR="00EC7600" w:rsidRPr="00A23E47">
        <w:rPr>
          <w:rFonts w:cs="Calibri"/>
          <w:b/>
          <w:bCs/>
          <w:u w:val="single"/>
        </w:rPr>
        <w:t>ata and FRL</w:t>
      </w:r>
      <w:r w:rsidRPr="00A23E47">
        <w:rPr>
          <w:rFonts w:cs="Calibri"/>
          <w:b/>
          <w:bCs/>
          <w:u w:val="single"/>
        </w:rPr>
        <w:t>:</w:t>
      </w:r>
      <w:r w:rsidR="00EC7600" w:rsidRPr="00A23E47">
        <w:rPr>
          <w:rFonts w:cs="Calibri"/>
        </w:rPr>
        <w:t xml:space="preserve"> </w:t>
      </w:r>
      <w:r w:rsidR="001C3361" w:rsidRPr="00A23E47">
        <w:rPr>
          <w:rFonts w:cs="Calibri"/>
        </w:rPr>
        <w:t xml:space="preserve"> For safety inspections, </w:t>
      </w:r>
      <w:r w:rsidR="00BA6C65" w:rsidRPr="00A23E47">
        <w:rPr>
          <w:rFonts w:cs="Calibri"/>
        </w:rPr>
        <w:t>t</w:t>
      </w:r>
      <w:r w:rsidR="00EC7600" w:rsidRPr="00A23E47">
        <w:rPr>
          <w:rFonts w:cs="Calibri"/>
        </w:rPr>
        <w:t>he FRL for percent in</w:t>
      </w:r>
      <w:r w:rsidR="00C70077" w:rsidRPr="00A23E47">
        <w:rPr>
          <w:rFonts w:cs="Calibri"/>
        </w:rPr>
        <w:t>-</w:t>
      </w:r>
      <w:r w:rsidR="00EC7600" w:rsidRPr="00A23E47">
        <w:rPr>
          <w:rFonts w:cs="Calibri"/>
        </w:rPr>
        <w:t xml:space="preserve">compliance is +/- 20% of the </w:t>
      </w:r>
      <w:r w:rsidR="00CB112A">
        <w:rPr>
          <w:rFonts w:cs="Calibri"/>
        </w:rPr>
        <w:t>three</w:t>
      </w:r>
      <w:r w:rsidR="0021380C" w:rsidRPr="00A23E47">
        <w:rPr>
          <w:rFonts w:cs="Calibri"/>
        </w:rPr>
        <w:t>-</w:t>
      </w:r>
      <w:r w:rsidR="003F2E2D" w:rsidRPr="00A23E47">
        <w:rPr>
          <w:rFonts w:cs="Calibri"/>
        </w:rPr>
        <w:t xml:space="preserve">year national average of </w:t>
      </w:r>
      <w:r w:rsidR="000B3DB5" w:rsidRPr="00A23E47">
        <w:rPr>
          <w:rFonts w:asciiTheme="minorHAnsi" w:hAnsiTheme="minorHAnsi" w:cstheme="minorHAnsi"/>
        </w:rPr>
        <w:t xml:space="preserve">32.83% </w:t>
      </w:r>
      <w:r w:rsidR="00EC7600" w:rsidRPr="00A23E47">
        <w:rPr>
          <w:rFonts w:cs="Calibri"/>
        </w:rPr>
        <w:t>which equals a rang</w:t>
      </w:r>
      <w:r w:rsidR="00A02B33" w:rsidRPr="00A23E47">
        <w:rPr>
          <w:rFonts w:cs="Calibri"/>
        </w:rPr>
        <w:t xml:space="preserve">e of </w:t>
      </w:r>
      <w:r w:rsidR="000B3DB5" w:rsidRPr="00A23E47">
        <w:rPr>
          <w:rFonts w:asciiTheme="minorHAnsi" w:hAnsiTheme="minorHAnsi" w:cstheme="minorHAnsi"/>
        </w:rPr>
        <w:t xml:space="preserve">26.27% to 39.40% </w:t>
      </w:r>
      <w:r w:rsidR="007F5C0F" w:rsidRPr="00A23E47">
        <w:rPr>
          <w:rFonts w:cs="Calibri"/>
        </w:rPr>
        <w:t xml:space="preserve">of the </w:t>
      </w:r>
      <w:r w:rsidR="00CB112A">
        <w:rPr>
          <w:rFonts w:cs="Calibri"/>
        </w:rPr>
        <w:t>three</w:t>
      </w:r>
      <w:r w:rsidR="007F5C0F" w:rsidRPr="00A23E47">
        <w:rPr>
          <w:rFonts w:cs="Calibri"/>
        </w:rPr>
        <w:t xml:space="preserve">-year national average. </w:t>
      </w:r>
      <w:r w:rsidR="00F90EFA" w:rsidRPr="00A23E47">
        <w:rPr>
          <w:rFonts w:cs="Calibri"/>
        </w:rPr>
        <w:t>The</w:t>
      </w:r>
      <w:r w:rsidR="00A02B33" w:rsidRPr="00A23E47">
        <w:rPr>
          <w:rFonts w:cs="Calibri"/>
        </w:rPr>
        <w:t xml:space="preserve"> </w:t>
      </w:r>
      <w:r w:rsidR="000B3DB5" w:rsidRPr="00A23E47">
        <w:rPr>
          <w:rFonts w:cs="Calibri"/>
        </w:rPr>
        <w:t xml:space="preserve">NC </w:t>
      </w:r>
      <w:r w:rsidR="00EC7600" w:rsidRPr="00A23E47">
        <w:rPr>
          <w:rFonts w:cs="Calibri"/>
        </w:rPr>
        <w:t>State Plan’s percent in</w:t>
      </w:r>
      <w:r w:rsidR="003F2E2D" w:rsidRPr="00A23E47">
        <w:rPr>
          <w:rFonts w:cs="Calibri"/>
        </w:rPr>
        <w:t xml:space="preserve">-compliance for safety is </w:t>
      </w:r>
      <w:r w:rsidR="000B3DB5" w:rsidRPr="00A23E47">
        <w:rPr>
          <w:rFonts w:asciiTheme="minorHAnsi" w:eastAsia="PMingLiU" w:hAnsiTheme="minorHAnsi" w:cstheme="minorHAnsi"/>
        </w:rPr>
        <w:t>40.26%</w:t>
      </w:r>
      <w:r w:rsidR="00EC7600" w:rsidRPr="00A23E47">
        <w:rPr>
          <w:rFonts w:cs="Calibri"/>
        </w:rPr>
        <w:t xml:space="preserve"> which </w:t>
      </w:r>
      <w:r w:rsidR="00BF75BA" w:rsidRPr="00A23E47">
        <w:rPr>
          <w:rFonts w:cs="Calibri"/>
        </w:rPr>
        <w:t>wa</w:t>
      </w:r>
      <w:r w:rsidR="00EC7600" w:rsidRPr="00A23E47">
        <w:rPr>
          <w:rFonts w:cs="Calibri"/>
        </w:rPr>
        <w:t xml:space="preserve">s </w:t>
      </w:r>
      <w:r w:rsidR="000B3DB5" w:rsidRPr="00A23E47">
        <w:rPr>
          <w:rFonts w:cs="Calibri"/>
        </w:rPr>
        <w:t xml:space="preserve">slightly </w:t>
      </w:r>
      <w:r w:rsidR="003F2E2D" w:rsidRPr="00A23E47">
        <w:rPr>
          <w:rFonts w:cs="Calibri"/>
        </w:rPr>
        <w:t xml:space="preserve">higher than </w:t>
      </w:r>
      <w:r w:rsidR="00EC7600" w:rsidRPr="00A23E47">
        <w:rPr>
          <w:rFonts w:cs="Calibri"/>
        </w:rPr>
        <w:t xml:space="preserve">the FRL. </w:t>
      </w:r>
    </w:p>
    <w:p w14:paraId="0952A8CC" w14:textId="77777777" w:rsidR="005F71A2" w:rsidRPr="00A23E47" w:rsidRDefault="005F71A2" w:rsidP="00A23E47">
      <w:pPr>
        <w:rPr>
          <w:rFonts w:cs="Calibri"/>
        </w:rPr>
      </w:pPr>
    </w:p>
    <w:p w14:paraId="4932125A" w14:textId="3052AD55" w:rsidR="00A228AB" w:rsidRPr="00A23E47" w:rsidRDefault="001C3361" w:rsidP="00A23E47">
      <w:bookmarkStart w:id="28" w:name="_Hlk187134629"/>
      <w:r w:rsidRPr="00A23E47">
        <w:t>For health inspections, t</w:t>
      </w:r>
      <w:r w:rsidR="00EC7600" w:rsidRPr="00A23E47">
        <w:t>he FRL for percent in</w:t>
      </w:r>
      <w:r w:rsidR="003F2E2D" w:rsidRPr="00A23E47">
        <w:t>-</w:t>
      </w:r>
      <w:r w:rsidR="00EC7600" w:rsidRPr="00A23E47">
        <w:t>compliance</w:t>
      </w:r>
      <w:r w:rsidR="003F2E2D" w:rsidRPr="00A23E47">
        <w:t xml:space="preserve"> is +/- 20% of the </w:t>
      </w:r>
      <w:r w:rsidR="00CB112A">
        <w:t>three</w:t>
      </w:r>
      <w:r w:rsidR="003F2E2D" w:rsidRPr="00A23E47">
        <w:t>-</w:t>
      </w:r>
      <w:r w:rsidR="00EC7600" w:rsidRPr="00A23E47">
        <w:t xml:space="preserve">year national average of </w:t>
      </w:r>
      <w:r w:rsidR="000B3DB5" w:rsidRPr="00A23E47">
        <w:rPr>
          <w:rFonts w:asciiTheme="minorHAnsi" w:hAnsiTheme="minorHAnsi" w:cstheme="minorHAnsi"/>
        </w:rPr>
        <w:t xml:space="preserve">44.18% </w:t>
      </w:r>
      <w:r w:rsidR="00EC7600" w:rsidRPr="00A23E47">
        <w:t xml:space="preserve">which equals a range of </w:t>
      </w:r>
      <w:r w:rsidR="000B3DB5" w:rsidRPr="00A23E47">
        <w:rPr>
          <w:rFonts w:asciiTheme="minorHAnsi" w:hAnsiTheme="minorHAnsi" w:cstheme="minorHAnsi"/>
        </w:rPr>
        <w:t>35.34% to 53.01% for health.</w:t>
      </w:r>
      <w:r w:rsidR="000B3DB5" w:rsidRPr="00A23E47">
        <w:t xml:space="preserve"> </w:t>
      </w:r>
      <w:r w:rsidR="00A02B33" w:rsidRPr="00A23E47">
        <w:t xml:space="preserve">The </w:t>
      </w:r>
      <w:r w:rsidR="00F90EFA" w:rsidRPr="00A23E47">
        <w:t>NC</w:t>
      </w:r>
      <w:r w:rsidR="00EC7600" w:rsidRPr="00A23E47">
        <w:t xml:space="preserve"> State Plan’s percent in</w:t>
      </w:r>
      <w:r w:rsidR="003F2E2D" w:rsidRPr="00A23E47">
        <w:t xml:space="preserve">-compliance for health is </w:t>
      </w:r>
      <w:r w:rsidR="000B3DB5" w:rsidRPr="00A23E47">
        <w:rPr>
          <w:rFonts w:asciiTheme="minorHAnsi" w:eastAsia="PMingLiU" w:hAnsiTheme="minorHAnsi" w:cstheme="minorHAnsi"/>
        </w:rPr>
        <w:t xml:space="preserve">33.80% </w:t>
      </w:r>
      <w:r w:rsidR="00A228AB" w:rsidRPr="00A23E47">
        <w:t>indicating strong enforcement efforts and addressing significant health hazards</w:t>
      </w:r>
      <w:r w:rsidR="00BC098A" w:rsidRPr="00A23E47">
        <w:t>.</w:t>
      </w:r>
    </w:p>
    <w:p w14:paraId="074E3991" w14:textId="20F6F2D2" w:rsidR="00A228AB" w:rsidRDefault="00A228AB" w:rsidP="00486A70">
      <w:pPr>
        <w:jc w:val="both"/>
        <w:rPr>
          <w:rFonts w:cs="Calibri"/>
        </w:rPr>
      </w:pPr>
    </w:p>
    <w:p w14:paraId="2153B430" w14:textId="515A1AE0" w:rsidR="00A77527" w:rsidRPr="00A23E47" w:rsidRDefault="00EC7600" w:rsidP="00A23E47">
      <w:bookmarkStart w:id="29" w:name="_Hlk186790233"/>
      <w:bookmarkEnd w:id="28"/>
      <w:r w:rsidRPr="00A23E47">
        <w:rPr>
          <w:b/>
          <w:bCs/>
          <w:u w:val="single"/>
        </w:rPr>
        <w:t>Explanation</w:t>
      </w:r>
      <w:r w:rsidR="005D1F76" w:rsidRPr="00A23E47">
        <w:rPr>
          <w:b/>
          <w:bCs/>
        </w:rPr>
        <w:t>:</w:t>
      </w:r>
      <w:bookmarkEnd w:id="29"/>
      <w:r w:rsidR="00F373DB" w:rsidRPr="00A23E47">
        <w:t xml:space="preserve"> </w:t>
      </w:r>
      <w:r w:rsidR="00A77527" w:rsidRPr="00A23E47">
        <w:t xml:space="preserve"> The lower </w:t>
      </w:r>
      <w:r w:rsidR="006746E3" w:rsidRPr="00A23E47">
        <w:t>in-</w:t>
      </w:r>
      <w:r w:rsidR="00A77527" w:rsidRPr="00A23E47">
        <w:t>compliance rate for health inspections suggests strong enforcement efforts and attention to significant health hazards.  This indicates thorough inspections and robust hazard identification by OSHNC</w:t>
      </w:r>
      <w:r w:rsidR="006746E3" w:rsidRPr="00A23E47">
        <w:t>’s</w:t>
      </w:r>
      <w:r w:rsidR="00A77527" w:rsidRPr="00A23E47">
        <w:t xml:space="preserve"> health staff. </w:t>
      </w:r>
    </w:p>
    <w:p w14:paraId="2B1CC54E" w14:textId="77777777" w:rsidR="00A77527" w:rsidRDefault="00A77527" w:rsidP="00486A70">
      <w:pPr>
        <w:jc w:val="both"/>
      </w:pPr>
    </w:p>
    <w:p w14:paraId="56B59751" w14:textId="253BD7D1" w:rsidR="0031397F" w:rsidRPr="00A23E47" w:rsidRDefault="00F373DB" w:rsidP="00A23E47">
      <w:r w:rsidRPr="00A23E47">
        <w:t>The State Plan’s</w:t>
      </w:r>
      <w:r w:rsidR="00525399">
        <w:t xml:space="preserve"> safety in-compliance rate was</w:t>
      </w:r>
      <w:r w:rsidRPr="00A23E47">
        <w:t xml:space="preserve"> </w:t>
      </w:r>
      <w:r w:rsidR="003D2943" w:rsidRPr="00A23E47">
        <w:t>slightly elevated</w:t>
      </w:r>
      <w:r w:rsidR="00525399">
        <w:t xml:space="preserve"> above the FRL </w:t>
      </w:r>
      <w:r w:rsidR="003D2943" w:rsidRPr="00A23E47">
        <w:t>by less than 1%</w:t>
      </w:r>
      <w:r w:rsidR="00525399">
        <w:t>.</w:t>
      </w:r>
      <w:r w:rsidR="003D2943" w:rsidRPr="00A23E47">
        <w:t xml:space="preserve"> </w:t>
      </w:r>
      <w:r w:rsidRPr="00A23E47">
        <w:t xml:space="preserve">This small </w:t>
      </w:r>
      <w:r w:rsidR="00BF75BA" w:rsidRPr="00A23E47">
        <w:t>difference</w:t>
      </w:r>
      <w:r w:rsidRPr="00A23E47">
        <w:t xml:space="preserve"> does not represent a significant concern at this time, but OSHA will continue to</w:t>
      </w:r>
      <w:r w:rsidR="00D57D79" w:rsidRPr="00A23E47">
        <w:t xml:space="preserve"> monitor trends to determine whether</w:t>
      </w:r>
      <w:r w:rsidR="003D2943" w:rsidRPr="00A23E47">
        <w:t xml:space="preserve"> further review is warranted, i.e.</w:t>
      </w:r>
      <w:r w:rsidR="00EF3923">
        <w:t>,</w:t>
      </w:r>
      <w:r w:rsidR="00A23E47" w:rsidRPr="00A23E47">
        <w:t xml:space="preserve"> </w:t>
      </w:r>
      <w:r w:rsidRPr="00A23E47">
        <w:t>any corrective actions or adjustments needed to stay within the</w:t>
      </w:r>
      <w:r w:rsidR="003D2943" w:rsidRPr="00A23E47">
        <w:t xml:space="preserve"> FRL.</w:t>
      </w:r>
    </w:p>
    <w:p w14:paraId="56E64D6C" w14:textId="77777777" w:rsidR="004E09ED" w:rsidRPr="00A23E47" w:rsidRDefault="004E09ED" w:rsidP="00A23E47"/>
    <w:p w14:paraId="224D2474" w14:textId="3405E531" w:rsidR="00BE5FE6" w:rsidRPr="00A23E47" w:rsidRDefault="00A81E52" w:rsidP="00A23E47">
      <w:pPr>
        <w:rPr>
          <w:rFonts w:asciiTheme="minorHAnsi" w:hAnsiTheme="minorHAnsi" w:cstheme="minorHAnsi"/>
          <w:b/>
        </w:rPr>
      </w:pPr>
      <w:r w:rsidRPr="00A23E47">
        <w:rPr>
          <w:rFonts w:cs="Calibri"/>
          <w:b/>
        </w:rPr>
        <w:t>SAMM 8d</w:t>
      </w:r>
      <w:r w:rsidR="0031397F" w:rsidRPr="00A23E47">
        <w:rPr>
          <w:rFonts w:cs="Calibri"/>
          <w:b/>
        </w:rPr>
        <w:t xml:space="preserve"> - Average</w:t>
      </w:r>
      <w:r w:rsidR="00BE5FE6" w:rsidRPr="00A23E47">
        <w:rPr>
          <w:rFonts w:asciiTheme="minorHAnsi" w:hAnsiTheme="minorHAnsi" w:cstheme="minorHAnsi"/>
          <w:b/>
        </w:rPr>
        <w:t xml:space="preserve"> current serious penalty in private sector</w:t>
      </w:r>
      <w:r w:rsidR="0031397F" w:rsidRPr="00A23E47">
        <w:rPr>
          <w:rFonts w:asciiTheme="minorHAnsi" w:hAnsiTheme="minorHAnsi" w:cstheme="minorHAnsi"/>
          <w:b/>
        </w:rPr>
        <w:t xml:space="preserve"> </w:t>
      </w:r>
      <w:r w:rsidR="00BE5FE6" w:rsidRPr="00A23E47">
        <w:rPr>
          <w:rFonts w:asciiTheme="minorHAnsi" w:hAnsiTheme="minorHAnsi" w:cstheme="minorHAnsi"/>
          <w:b/>
        </w:rPr>
        <w:t>(greater than 250 workers)</w:t>
      </w:r>
    </w:p>
    <w:p w14:paraId="47359E50" w14:textId="720797D2" w:rsidR="006D4322" w:rsidRPr="00A23E47" w:rsidRDefault="006D4322" w:rsidP="00A23E47">
      <w:pPr>
        <w:rPr>
          <w:rFonts w:asciiTheme="minorHAnsi" w:hAnsiTheme="minorHAnsi" w:cstheme="minorHAnsi"/>
          <w:bCs/>
        </w:rPr>
      </w:pPr>
      <w:r w:rsidRPr="00A23E47">
        <w:rPr>
          <w:rFonts w:asciiTheme="minorHAnsi" w:hAnsiTheme="minorHAnsi" w:cstheme="minorHAnsi"/>
          <w:bCs/>
        </w:rPr>
        <w:t xml:space="preserve">For SAMM 8d, the FRL range is </w:t>
      </w:r>
      <w:r w:rsidR="00D57D79" w:rsidRPr="00A23E47">
        <w:rPr>
          <w:rFonts w:asciiTheme="minorHAnsi" w:hAnsiTheme="minorHAnsi" w:cstheme="minorHAnsi"/>
          <w:bCs/>
        </w:rPr>
        <w:t>$</w:t>
      </w:r>
      <w:r w:rsidRPr="00A23E47">
        <w:rPr>
          <w:rFonts w:asciiTheme="minorHAnsi" w:hAnsiTheme="minorHAnsi" w:cstheme="minorHAnsi"/>
          <w:bCs/>
        </w:rPr>
        <w:t>5650.19</w:t>
      </w:r>
      <w:r w:rsidR="00D57D79" w:rsidRPr="00A23E47">
        <w:rPr>
          <w:rFonts w:asciiTheme="minorHAnsi" w:hAnsiTheme="minorHAnsi" w:cstheme="minorHAnsi"/>
          <w:bCs/>
        </w:rPr>
        <w:t xml:space="preserve"> to $9416.98.  OSHNC’s average serious penalty was $10,606.20, exceeding the FRL.</w:t>
      </w:r>
    </w:p>
    <w:p w14:paraId="06110091" w14:textId="77777777" w:rsidR="006D4322" w:rsidRPr="00A23E47" w:rsidRDefault="006D4322" w:rsidP="00A23E47">
      <w:pPr>
        <w:rPr>
          <w:rFonts w:asciiTheme="minorHAnsi" w:hAnsiTheme="minorHAnsi" w:cstheme="minorHAnsi"/>
          <w:bCs/>
        </w:rPr>
      </w:pPr>
    </w:p>
    <w:p w14:paraId="126F0D0D" w14:textId="3D025A01" w:rsidR="00DC0B3B" w:rsidRPr="00A23E47" w:rsidRDefault="00A81E52" w:rsidP="00A23E47">
      <w:pPr>
        <w:rPr>
          <w:rFonts w:asciiTheme="minorHAnsi" w:hAnsiTheme="minorHAnsi" w:cstheme="minorHAnsi"/>
          <w:b/>
        </w:rPr>
      </w:pPr>
      <w:r w:rsidRPr="00A23E47">
        <w:rPr>
          <w:rFonts w:cs="Calibri"/>
          <w:b/>
        </w:rPr>
        <w:t>SAMM 12</w:t>
      </w:r>
      <w:r w:rsidR="00BE5FE6" w:rsidRPr="00A23E47">
        <w:rPr>
          <w:rFonts w:asciiTheme="minorHAnsi" w:hAnsiTheme="minorHAnsi" w:cstheme="minorHAnsi"/>
          <w:b/>
        </w:rPr>
        <w:t xml:space="preserve"> </w:t>
      </w:r>
      <w:r w:rsidR="0031397F" w:rsidRPr="00A23E47">
        <w:rPr>
          <w:rFonts w:asciiTheme="minorHAnsi" w:hAnsiTheme="minorHAnsi" w:cstheme="minorHAnsi"/>
          <w:b/>
        </w:rPr>
        <w:t xml:space="preserve">- </w:t>
      </w:r>
      <w:r w:rsidR="00BE5FE6" w:rsidRPr="00A23E47">
        <w:rPr>
          <w:rFonts w:asciiTheme="minorHAnsi" w:hAnsiTheme="minorHAnsi" w:cstheme="minorHAnsi"/>
          <w:b/>
        </w:rPr>
        <w:t>Percent penalty retained</w:t>
      </w:r>
    </w:p>
    <w:p w14:paraId="08502C6A" w14:textId="28583A04" w:rsidR="00D57D79" w:rsidRPr="00A23E47" w:rsidRDefault="00D57D79" w:rsidP="00A23E47">
      <w:pPr>
        <w:rPr>
          <w:rFonts w:asciiTheme="minorHAnsi" w:hAnsiTheme="minorHAnsi" w:cstheme="minorHAnsi"/>
          <w:bCs/>
        </w:rPr>
      </w:pPr>
      <w:r w:rsidRPr="00A23E47">
        <w:rPr>
          <w:rFonts w:asciiTheme="minorHAnsi" w:hAnsiTheme="minorHAnsi" w:cstheme="minorHAnsi"/>
          <w:bCs/>
        </w:rPr>
        <w:t>For SAMM 12, the FRL range is 60,19% to 81.44%. The State Plan’s penalty retention rate was 84.44%, also above the FRL.</w:t>
      </w:r>
    </w:p>
    <w:p w14:paraId="1F84969B" w14:textId="77777777" w:rsidR="00A23E47" w:rsidRPr="00A23E47" w:rsidRDefault="00A23E47" w:rsidP="00A23E47"/>
    <w:p w14:paraId="1981D0BB" w14:textId="3BFD4FCF" w:rsidR="004E09ED" w:rsidRPr="00A23E47" w:rsidRDefault="00BE5FE6" w:rsidP="00A23E47">
      <w:r w:rsidRPr="00A23E47">
        <w:t xml:space="preserve">OSHNC's strong case management in </w:t>
      </w:r>
      <w:r w:rsidR="0079541E" w:rsidRPr="00A23E47">
        <w:t>FY 2024</w:t>
      </w:r>
      <w:r w:rsidRPr="00A23E47">
        <w:t xml:space="preserve"> </w:t>
      </w:r>
      <w:r w:rsidR="00160744" w:rsidRPr="00A23E47">
        <w:t xml:space="preserve">to deter future violations </w:t>
      </w:r>
      <w:r w:rsidRPr="00A23E47">
        <w:t xml:space="preserve">is reflected </w:t>
      </w:r>
      <w:r w:rsidR="00DF47C0" w:rsidRPr="00A23E47">
        <w:t>by the</w:t>
      </w:r>
      <w:r w:rsidRPr="00A23E47">
        <w:t xml:space="preserve"> average penalty for private sector employers with more than 250 workers exceeding the </w:t>
      </w:r>
      <w:r w:rsidR="00CB112A">
        <w:t xml:space="preserve">three-year </w:t>
      </w:r>
      <w:r w:rsidRPr="00A23E47">
        <w:t xml:space="preserve">national average by $3,072.62 (SAMM 8d) and a penalty retention percentage of 84.44% (SAMM 12). This </w:t>
      </w:r>
      <w:r w:rsidR="0031397F" w:rsidRPr="00A23E47">
        <w:t xml:space="preserve">is well above </w:t>
      </w:r>
      <w:r w:rsidRPr="00A23E47">
        <w:t xml:space="preserve">the </w:t>
      </w:r>
      <w:r w:rsidR="00CB112A">
        <w:t xml:space="preserve">three-year </w:t>
      </w:r>
      <w:r w:rsidRPr="00A23E47">
        <w:t>national average penalty retention of 70.81%. The correlation between holding higher penalties and maintaining a high penalty retention percentage demonstrates the strength</w:t>
      </w:r>
      <w:r w:rsidR="006D7FBE" w:rsidRPr="00A23E47">
        <w:t>, consistency of OSHNC’s enforcement efforts</w:t>
      </w:r>
      <w:r w:rsidR="00BE30FF" w:rsidRPr="00A23E47">
        <w:t xml:space="preserve">, as well as </w:t>
      </w:r>
      <w:r w:rsidR="00D9163C" w:rsidRPr="00A23E47">
        <w:t xml:space="preserve">the </w:t>
      </w:r>
      <w:r w:rsidRPr="00A23E47">
        <w:t>thoroughness of OSHNC's case files</w:t>
      </w:r>
      <w:r w:rsidR="00486A70" w:rsidRPr="00A23E47">
        <w:t>.</w:t>
      </w:r>
      <w:r w:rsidR="004E09ED" w:rsidRPr="00A23E47">
        <w:t xml:space="preserve">  </w:t>
      </w:r>
    </w:p>
    <w:p w14:paraId="4DD4CBB7" w14:textId="24315493" w:rsidR="00DC0B3B" w:rsidRPr="00A23E47" w:rsidRDefault="00DC0B3B" w:rsidP="00A23E47">
      <w:pPr>
        <w:sectPr w:rsidR="00DC0B3B" w:rsidRPr="00A23E47" w:rsidSect="00783189">
          <w:footerReference w:type="default" r:id="rId10"/>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0F63C1">
      <w:pPr>
        <w:pStyle w:val="Heading3"/>
        <w:numPr>
          <w:ilvl w:val="0"/>
          <w:numId w:val="0"/>
        </w:numPr>
      </w:pPr>
      <w:bookmarkStart w:id="30" w:name="_Toc118905017"/>
      <w:bookmarkStart w:id="31" w:name="_Toc119418669"/>
      <w:r w:rsidRPr="0002572C">
        <w:t>Appendix A – New and Continued Findings and Recommendations</w:t>
      </w:r>
      <w:bookmarkEnd w:id="30"/>
      <w:bookmarkEnd w:id="31"/>
    </w:p>
    <w:p w14:paraId="670F195C" w14:textId="145128FA" w:rsidR="00B6741C" w:rsidRDefault="00B6741C" w:rsidP="00B6741C">
      <w:r>
        <w:t>FY 20</w:t>
      </w:r>
      <w:r w:rsidR="00C47BE9">
        <w:t>24</w:t>
      </w:r>
      <w:r>
        <w:t xml:space="preserve"> </w:t>
      </w:r>
      <w:r w:rsidR="00C47BE9">
        <w:t>North Carolina</w:t>
      </w:r>
      <w:r w:rsidRPr="00476C08">
        <w:rPr>
          <w:color w:val="0070C0"/>
        </w:rPr>
        <w:t xml:space="preserve">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1444F7D0"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CC5ABD">
              <w:rPr>
                <w:rFonts w:cs="Calibri"/>
                <w:b/>
              </w:rPr>
              <w:t>24</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510367CE"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CC5ABD">
              <w:rPr>
                <w:rFonts w:cs="Calibri"/>
                <w:b/>
              </w:rPr>
              <w:t>24</w:t>
            </w:r>
            <w:r w:rsidRPr="001C1E47">
              <w:rPr>
                <w:rFonts w:cs="Calibri"/>
                <w:b/>
              </w:rPr>
              <w:t xml:space="preserve">-# or </w:t>
            </w:r>
          </w:p>
          <w:p w14:paraId="3C61CFBF" w14:textId="31460AB5" w:rsidR="000A134A"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CC5ABD">
              <w:rPr>
                <w:rFonts w:cs="Calibri"/>
                <w:b/>
              </w:rPr>
              <w:t>23</w:t>
            </w:r>
            <w:r w:rsidRPr="001C1E47">
              <w:rPr>
                <w:rFonts w:cs="Calibri"/>
                <w:b/>
              </w:rPr>
              <w:t>--#</w:t>
            </w:r>
          </w:p>
        </w:tc>
      </w:tr>
      <w:tr w:rsidR="000A134A" w:rsidRPr="001C1E47" w14:paraId="5368CE16" w14:textId="77777777" w:rsidTr="00185C7D">
        <w:tc>
          <w:tcPr>
            <w:tcW w:w="1440" w:type="dxa"/>
          </w:tcPr>
          <w:p w14:paraId="31EBB109" w14:textId="77777777" w:rsidR="000A134A" w:rsidRPr="001C1E47" w:rsidRDefault="000A134A" w:rsidP="007A71AC">
            <w:pPr>
              <w:widowControl/>
              <w:autoSpaceDE/>
              <w:autoSpaceDN/>
              <w:adjustRightInd/>
              <w:rPr>
                <w:rFonts w:cs="Calibri"/>
              </w:rPr>
            </w:pPr>
            <w:r w:rsidRPr="001C1E47">
              <w:rPr>
                <w:rFonts w:cs="Calibri"/>
              </w:rPr>
              <w:t xml:space="preserve"> </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0D8593E1" w:rsidR="000A134A" w:rsidRPr="001C1E47" w:rsidRDefault="000A134A" w:rsidP="007A71AC">
            <w:pPr>
              <w:widowControl/>
              <w:autoSpaceDE/>
              <w:autoSpaceDN/>
              <w:adjustRightInd/>
              <w:rPr>
                <w:rFonts w:cs="Calibri"/>
              </w:rPr>
            </w:pPr>
            <w:r w:rsidRPr="001C1E47">
              <w:rPr>
                <w:rFonts w:cs="Calibri"/>
              </w:rPr>
              <w:t xml:space="preserve">   </w:t>
            </w:r>
            <w:r w:rsidR="00C47BE9">
              <w:rPr>
                <w:rFonts w:cs="Calibri"/>
              </w:rPr>
              <w:t>None</w:t>
            </w:r>
          </w:p>
        </w:tc>
        <w:tc>
          <w:tcPr>
            <w:tcW w:w="4819" w:type="dxa"/>
          </w:tcPr>
          <w:p w14:paraId="5C606D29" w14:textId="77777777" w:rsidR="000A134A" w:rsidRPr="001C1E47" w:rsidRDefault="000A134A" w:rsidP="007A71AC">
            <w:pPr>
              <w:widowControl/>
              <w:autoSpaceDE/>
              <w:autoSpaceDN/>
              <w:adjustRightInd/>
              <w:rPr>
                <w:rFonts w:cs="Calibri"/>
              </w:rPr>
            </w:pPr>
            <w:r w:rsidRPr="001C1E47">
              <w:rPr>
                <w:rFonts w:cs="Calibri"/>
              </w:rPr>
              <w:t xml:space="preserve"> </w:t>
            </w:r>
          </w:p>
          <w:p w14:paraId="7A48B2C8" w14:textId="77777777" w:rsidR="000A134A" w:rsidRPr="001C1E47" w:rsidRDefault="000A134A" w:rsidP="007A71AC">
            <w:pPr>
              <w:widowControl/>
              <w:autoSpaceDE/>
              <w:autoSpaceDN/>
              <w:adjustRightInd/>
              <w:rPr>
                <w:rFonts w:cs="Calibri"/>
              </w:rPr>
            </w:pPr>
          </w:p>
        </w:tc>
        <w:tc>
          <w:tcPr>
            <w:tcW w:w="1890" w:type="dxa"/>
          </w:tcPr>
          <w:p w14:paraId="51FF8A48" w14:textId="77777777" w:rsidR="000A134A" w:rsidRPr="001C1E47" w:rsidRDefault="000A134A" w:rsidP="007A71AC">
            <w:pPr>
              <w:widowControl/>
              <w:autoSpaceDE/>
              <w:autoSpaceDN/>
              <w:adjustRightInd/>
              <w:rPr>
                <w:rFonts w:cs="Calibri"/>
              </w:rPr>
            </w:pPr>
            <w:r w:rsidRPr="001C1E47">
              <w:rPr>
                <w:rFonts w:cs="Calibri"/>
              </w:rPr>
              <w:t xml:space="preserve"> </w:t>
            </w:r>
          </w:p>
        </w:tc>
      </w:tr>
    </w:tbl>
    <w:p w14:paraId="3C1E0E19" w14:textId="77777777" w:rsidR="000A134A" w:rsidRDefault="000A134A" w:rsidP="007A71AC">
      <w:pPr>
        <w:widowControl/>
        <w:autoSpaceDE/>
        <w:autoSpaceDN/>
        <w:adjustRightInd/>
        <w:rPr>
          <w:rFonts w:cs="Calibri"/>
        </w:rPr>
      </w:pPr>
    </w:p>
    <w:p w14:paraId="14249BF1" w14:textId="77777777" w:rsidR="00525399" w:rsidRDefault="00525399" w:rsidP="007A71AC">
      <w:pPr>
        <w:widowControl/>
        <w:autoSpaceDE/>
        <w:autoSpaceDN/>
        <w:adjustRightInd/>
        <w:rPr>
          <w:rFonts w:cs="Calibri"/>
        </w:rPr>
      </w:pPr>
    </w:p>
    <w:p w14:paraId="1EE658D5" w14:textId="77777777" w:rsidR="00525399" w:rsidRDefault="00525399" w:rsidP="007A71AC">
      <w:pPr>
        <w:widowControl/>
        <w:autoSpaceDE/>
        <w:autoSpaceDN/>
        <w:adjustRightInd/>
        <w:rPr>
          <w:rFonts w:cs="Calibri"/>
        </w:rPr>
      </w:pPr>
    </w:p>
    <w:p w14:paraId="3CF5B711" w14:textId="77777777" w:rsidR="00525399" w:rsidRDefault="00525399" w:rsidP="007A71AC">
      <w:pPr>
        <w:widowControl/>
        <w:autoSpaceDE/>
        <w:autoSpaceDN/>
        <w:adjustRightInd/>
        <w:rPr>
          <w:rFonts w:cs="Calibri"/>
        </w:rPr>
      </w:pPr>
    </w:p>
    <w:p w14:paraId="49036AF2" w14:textId="77777777" w:rsidR="00525399" w:rsidRPr="001C1E47" w:rsidRDefault="00525399" w:rsidP="007A71AC">
      <w:pPr>
        <w:widowControl/>
        <w:autoSpaceDE/>
        <w:autoSpaceDN/>
        <w:adjustRightInd/>
        <w:rPr>
          <w:rFonts w:cs="Calibri"/>
        </w:rPr>
      </w:pPr>
    </w:p>
    <w:p w14:paraId="7C19C4AE" w14:textId="77777777" w:rsidR="00D86879" w:rsidRDefault="00D86879" w:rsidP="007A71AC">
      <w:pPr>
        <w:widowControl/>
        <w:autoSpaceDE/>
        <w:autoSpaceDN/>
        <w:adjustRightInd/>
        <w:rPr>
          <w:rFonts w:cs="Calibri"/>
          <w:i/>
        </w:rPr>
      </w:pPr>
    </w:p>
    <w:p w14:paraId="22821C47" w14:textId="77777777" w:rsidR="00C47BE9" w:rsidRDefault="00C47BE9" w:rsidP="007A71AC">
      <w:pPr>
        <w:widowControl/>
        <w:autoSpaceDE/>
        <w:autoSpaceDN/>
        <w:adjustRightInd/>
        <w:rPr>
          <w:rFonts w:cs="Calibri"/>
          <w:i/>
        </w:rPr>
      </w:pPr>
    </w:p>
    <w:p w14:paraId="75D3CE47" w14:textId="77777777" w:rsidR="00C47BE9" w:rsidRDefault="00C47BE9" w:rsidP="007A71AC">
      <w:pPr>
        <w:widowControl/>
        <w:autoSpaceDE/>
        <w:autoSpaceDN/>
        <w:adjustRightInd/>
        <w:rPr>
          <w:rFonts w:cs="Calibri"/>
          <w:i/>
        </w:rPr>
      </w:pPr>
    </w:p>
    <w:p w14:paraId="066CDF45" w14:textId="77777777" w:rsidR="00C47BE9" w:rsidRDefault="00C47BE9" w:rsidP="007A71AC">
      <w:pPr>
        <w:widowControl/>
        <w:autoSpaceDE/>
        <w:autoSpaceDN/>
        <w:adjustRightInd/>
        <w:rPr>
          <w:rFonts w:cs="Calibri"/>
          <w:i/>
        </w:rPr>
      </w:pPr>
    </w:p>
    <w:p w14:paraId="2CE92A59" w14:textId="77777777" w:rsidR="00C47BE9" w:rsidRDefault="00C47BE9" w:rsidP="007A71AC">
      <w:pPr>
        <w:widowControl/>
        <w:autoSpaceDE/>
        <w:autoSpaceDN/>
        <w:adjustRightInd/>
        <w:rPr>
          <w:rFonts w:cs="Calibri"/>
          <w:i/>
        </w:rPr>
      </w:pPr>
    </w:p>
    <w:p w14:paraId="120787F7" w14:textId="77777777" w:rsidR="00C47BE9" w:rsidRDefault="00C47BE9" w:rsidP="007A71AC">
      <w:pPr>
        <w:widowControl/>
        <w:autoSpaceDE/>
        <w:autoSpaceDN/>
        <w:adjustRightInd/>
        <w:rPr>
          <w:rFonts w:cs="Calibri"/>
          <w:i/>
        </w:rPr>
      </w:pPr>
    </w:p>
    <w:p w14:paraId="4C0AA6A0" w14:textId="77777777" w:rsidR="00C47BE9" w:rsidRDefault="00C47BE9" w:rsidP="007A71AC">
      <w:pPr>
        <w:widowControl/>
        <w:autoSpaceDE/>
        <w:autoSpaceDN/>
        <w:adjustRightInd/>
        <w:rPr>
          <w:rFonts w:cs="Calibri"/>
          <w:i/>
        </w:rPr>
      </w:pPr>
    </w:p>
    <w:p w14:paraId="5A10EF6D" w14:textId="77777777" w:rsidR="00C47BE9" w:rsidRDefault="00C47BE9" w:rsidP="007A71AC">
      <w:pPr>
        <w:widowControl/>
        <w:autoSpaceDE/>
        <w:autoSpaceDN/>
        <w:adjustRightInd/>
        <w:rPr>
          <w:rFonts w:cs="Calibri"/>
          <w:i/>
        </w:rPr>
      </w:pPr>
    </w:p>
    <w:p w14:paraId="556A1216" w14:textId="77777777" w:rsidR="00C47BE9" w:rsidRDefault="00C47BE9" w:rsidP="007A71AC">
      <w:pPr>
        <w:widowControl/>
        <w:autoSpaceDE/>
        <w:autoSpaceDN/>
        <w:adjustRightInd/>
        <w:rPr>
          <w:rFonts w:cs="Calibri"/>
          <w:i/>
        </w:rPr>
      </w:pPr>
    </w:p>
    <w:p w14:paraId="2619CD86" w14:textId="77777777" w:rsidR="00C47BE9" w:rsidRDefault="00C47BE9" w:rsidP="007A71AC">
      <w:pPr>
        <w:widowControl/>
        <w:autoSpaceDE/>
        <w:autoSpaceDN/>
        <w:adjustRightInd/>
        <w:rPr>
          <w:rFonts w:cs="Calibri"/>
          <w:i/>
        </w:rPr>
      </w:pPr>
    </w:p>
    <w:p w14:paraId="3F09B8E6" w14:textId="77777777" w:rsidR="00C47BE9" w:rsidRPr="001C1E47" w:rsidRDefault="00C47BE9" w:rsidP="007A71AC">
      <w:pPr>
        <w:widowControl/>
        <w:autoSpaceDE/>
        <w:autoSpaceDN/>
        <w:adjustRightInd/>
        <w:rPr>
          <w:rFonts w:cs="Calibri"/>
          <w:i/>
        </w:rPr>
      </w:pPr>
    </w:p>
    <w:p w14:paraId="039B49D1" w14:textId="77777777" w:rsidR="00D86879" w:rsidRPr="001C1E47" w:rsidRDefault="00D86879" w:rsidP="007A71AC">
      <w:pPr>
        <w:widowControl/>
        <w:autoSpaceDE/>
        <w:autoSpaceDN/>
        <w:adjustRightInd/>
        <w:rPr>
          <w:rFonts w:cs="Calibri"/>
          <w:i/>
        </w:rPr>
      </w:pPr>
    </w:p>
    <w:p w14:paraId="776B7B1D" w14:textId="77777777" w:rsidR="00D86879" w:rsidRDefault="00D86879" w:rsidP="007A71AC">
      <w:pPr>
        <w:widowControl/>
        <w:autoSpaceDE/>
        <w:autoSpaceDN/>
        <w:adjustRightInd/>
        <w:rPr>
          <w:rFonts w:cs="Calibri"/>
          <w:i/>
        </w:rPr>
      </w:pPr>
    </w:p>
    <w:p w14:paraId="1B9B7D84" w14:textId="77777777" w:rsidR="00C47BE9" w:rsidRDefault="00C47BE9" w:rsidP="007A71AC">
      <w:pPr>
        <w:widowControl/>
        <w:autoSpaceDE/>
        <w:autoSpaceDN/>
        <w:adjustRightInd/>
        <w:rPr>
          <w:rFonts w:cs="Calibri"/>
          <w:i/>
        </w:rPr>
      </w:pPr>
    </w:p>
    <w:p w14:paraId="052AEEE2" w14:textId="77777777" w:rsidR="00C47BE9" w:rsidRDefault="00C47BE9" w:rsidP="007A71AC">
      <w:pPr>
        <w:widowControl/>
        <w:autoSpaceDE/>
        <w:autoSpaceDN/>
        <w:adjustRightInd/>
        <w:rPr>
          <w:rFonts w:cs="Calibri"/>
          <w:i/>
        </w:rPr>
      </w:pPr>
    </w:p>
    <w:p w14:paraId="395D0F27" w14:textId="77777777" w:rsidR="00C47BE9" w:rsidRPr="001C1E47" w:rsidRDefault="00C47BE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0F63C1">
      <w:pPr>
        <w:pStyle w:val="Heading3"/>
        <w:numPr>
          <w:ilvl w:val="0"/>
          <w:numId w:val="0"/>
        </w:numPr>
      </w:pPr>
      <w:bookmarkStart w:id="32" w:name="_Toc118905018"/>
      <w:bookmarkStart w:id="33" w:name="_Toc119418670"/>
      <w:r w:rsidRPr="0002572C">
        <w:t>Appendix B – Observations Subject to Continued Monitoring</w:t>
      </w:r>
      <w:bookmarkEnd w:id="32"/>
      <w:bookmarkEnd w:id="33"/>
    </w:p>
    <w:p w14:paraId="73014EBD" w14:textId="46E99AD9" w:rsidR="00B6741C" w:rsidRPr="00F0678A" w:rsidRDefault="00B6741C" w:rsidP="0002572C">
      <w:r>
        <w:t>FY 20</w:t>
      </w:r>
      <w:r w:rsidR="00C47BE9">
        <w:t>24</w:t>
      </w:r>
      <w:r>
        <w:t xml:space="preserve"> </w:t>
      </w:r>
      <w:r w:rsidR="00C47BE9">
        <w:t>North Caroli</w:t>
      </w:r>
      <w:r w:rsidR="00757C9E">
        <w:t>n</w:t>
      </w:r>
      <w:r w:rsidR="00C47BE9">
        <w:t>a</w:t>
      </w:r>
      <w:r w:rsidRPr="00476C08">
        <w:rPr>
          <w:color w:val="0070C0"/>
        </w:rPr>
        <w:t xml:space="preserve"> </w:t>
      </w:r>
      <w:r>
        <w:t>Follow-up FAME Report</w:t>
      </w:r>
    </w:p>
    <w:p w14:paraId="75823E10" w14:textId="77777777" w:rsidR="00D86879" w:rsidRPr="001C1E47" w:rsidRDefault="00D86879" w:rsidP="007A71AC">
      <w:pPr>
        <w:widowControl/>
        <w:autoSpaceDE/>
        <w:autoSpaceDN/>
        <w:adjustRightInd/>
        <w:rPr>
          <w:rFonts w:cs="Calibri"/>
          <w:i/>
        </w:rPr>
      </w:pPr>
    </w:p>
    <w:p w14:paraId="2093D22B" w14:textId="77777777" w:rsidR="00D86879" w:rsidRPr="001C1E47" w:rsidRDefault="00D86879" w:rsidP="007A71AC">
      <w:pPr>
        <w:widowControl/>
        <w:autoSpaceDE/>
        <w:autoSpaceDN/>
        <w:adjustRightInd/>
        <w:rPr>
          <w:rFonts w:cs="Calibri"/>
          <w:i/>
        </w:rPr>
      </w:pPr>
    </w:p>
    <w:tbl>
      <w:tblPr>
        <w:tblStyle w:val="TableGrid"/>
        <w:tblW w:w="0" w:type="auto"/>
        <w:tblLook w:val="04A0" w:firstRow="1" w:lastRow="0" w:firstColumn="1" w:lastColumn="0" w:noHBand="0" w:noVBand="1"/>
      </w:tblPr>
      <w:tblGrid>
        <w:gridCol w:w="2657"/>
        <w:gridCol w:w="2690"/>
        <w:gridCol w:w="2657"/>
        <w:gridCol w:w="2630"/>
        <w:gridCol w:w="2316"/>
      </w:tblGrid>
      <w:tr w:rsidR="00B6741C" w:rsidRPr="00E35E8A" w14:paraId="266E8016" w14:textId="4E26EFF8" w:rsidTr="00B6741C">
        <w:trPr>
          <w:cantSplit/>
          <w:tblHeader/>
        </w:trPr>
        <w:tc>
          <w:tcPr>
            <w:tcW w:w="2657" w:type="dxa"/>
          </w:tcPr>
          <w:p w14:paraId="5950BEA4" w14:textId="77777777" w:rsidR="00B6741C" w:rsidRPr="00E35E8A" w:rsidRDefault="00B6741C" w:rsidP="00B6741C">
            <w:pPr>
              <w:widowControl/>
              <w:autoSpaceDE/>
              <w:autoSpaceDN/>
              <w:adjustRightInd/>
              <w:rPr>
                <w:rFonts w:cs="Calibri"/>
                <w:b/>
              </w:rPr>
            </w:pPr>
            <w:r w:rsidRPr="00E35E8A">
              <w:rPr>
                <w:rFonts w:cs="Calibri"/>
                <w:b/>
              </w:rPr>
              <w:t>Observation #</w:t>
            </w:r>
          </w:p>
          <w:p w14:paraId="09AE72D2" w14:textId="09FCCA94" w:rsidR="00B6741C" w:rsidRPr="00E35E8A" w:rsidRDefault="00B6741C" w:rsidP="00B6741C">
            <w:pPr>
              <w:widowControl/>
              <w:autoSpaceDE/>
              <w:autoSpaceDN/>
              <w:adjustRightInd/>
              <w:rPr>
                <w:rFonts w:cs="Calibri"/>
                <w:b/>
              </w:rPr>
            </w:pPr>
            <w:r w:rsidRPr="00E35E8A">
              <w:rPr>
                <w:rFonts w:cs="Calibri"/>
                <w:b/>
              </w:rPr>
              <w:t>FY 20</w:t>
            </w:r>
            <w:r w:rsidR="00CC5ABD">
              <w:rPr>
                <w:rFonts w:cs="Calibri"/>
                <w:b/>
              </w:rPr>
              <w:t>24</w:t>
            </w:r>
            <w:r w:rsidRPr="00E35E8A">
              <w:rPr>
                <w:rFonts w:cs="Calibri"/>
                <w:b/>
              </w:rPr>
              <w:t>-OB-#</w:t>
            </w:r>
          </w:p>
          <w:p w14:paraId="07702D17" w14:textId="77777777" w:rsidR="00B6741C" w:rsidRPr="00E35E8A" w:rsidRDefault="00B6741C" w:rsidP="00B6741C">
            <w:pPr>
              <w:widowControl/>
              <w:autoSpaceDE/>
              <w:autoSpaceDN/>
              <w:adjustRightInd/>
              <w:rPr>
                <w:rFonts w:cs="Calibri"/>
                <w:i/>
              </w:rPr>
            </w:pPr>
          </w:p>
        </w:tc>
        <w:tc>
          <w:tcPr>
            <w:tcW w:w="2690" w:type="dxa"/>
          </w:tcPr>
          <w:p w14:paraId="5B8F9311" w14:textId="77777777" w:rsidR="00B6741C" w:rsidRPr="00E35E8A" w:rsidRDefault="00B6741C" w:rsidP="00B6741C">
            <w:pPr>
              <w:widowControl/>
              <w:autoSpaceDE/>
              <w:autoSpaceDN/>
              <w:adjustRightInd/>
              <w:rPr>
                <w:rFonts w:cs="Calibri"/>
                <w:b/>
              </w:rPr>
            </w:pPr>
            <w:r w:rsidRPr="00E35E8A">
              <w:rPr>
                <w:rFonts w:cs="Calibri"/>
                <w:b/>
              </w:rPr>
              <w:t>Observation#</w:t>
            </w:r>
          </w:p>
          <w:p w14:paraId="757E85A6" w14:textId="260995C1" w:rsidR="00B6741C" w:rsidRPr="00E35E8A" w:rsidRDefault="00B6741C" w:rsidP="00B6741C">
            <w:pPr>
              <w:widowControl/>
              <w:autoSpaceDE/>
              <w:autoSpaceDN/>
              <w:adjustRightInd/>
              <w:rPr>
                <w:rFonts w:cs="Calibri"/>
                <w:i/>
              </w:rPr>
            </w:pPr>
            <w:r w:rsidRPr="00E35E8A">
              <w:rPr>
                <w:rFonts w:cs="Calibri"/>
                <w:b/>
              </w:rPr>
              <w:t>FY 20</w:t>
            </w:r>
            <w:r w:rsidR="00CC5ABD">
              <w:rPr>
                <w:rFonts w:cs="Calibri"/>
                <w:b/>
              </w:rPr>
              <w:t>24</w:t>
            </w:r>
            <w:r w:rsidRPr="00E35E8A">
              <w:rPr>
                <w:rFonts w:cs="Calibri"/>
                <w:b/>
              </w:rPr>
              <w:t xml:space="preserve">-OB-# </w:t>
            </w:r>
            <w:r w:rsidRPr="00E35E8A">
              <w:rPr>
                <w:rFonts w:cs="Calibri"/>
                <w:b/>
                <w:i/>
              </w:rPr>
              <w:t>or</w:t>
            </w:r>
            <w:r w:rsidRPr="00E35E8A">
              <w:rPr>
                <w:rFonts w:cs="Calibri"/>
                <w:b/>
              </w:rPr>
              <w:t xml:space="preserve"> FY 20</w:t>
            </w:r>
            <w:r w:rsidR="00CC5ABD">
              <w:rPr>
                <w:rFonts w:cs="Calibri"/>
                <w:b/>
              </w:rPr>
              <w:t>23</w:t>
            </w:r>
            <w:r w:rsidRPr="00E35E8A">
              <w:rPr>
                <w:rFonts w:cs="Calibri"/>
                <w:b/>
              </w:rPr>
              <w:t>-#</w:t>
            </w:r>
          </w:p>
        </w:tc>
        <w:tc>
          <w:tcPr>
            <w:tcW w:w="2657" w:type="dxa"/>
          </w:tcPr>
          <w:p w14:paraId="11DA1749" w14:textId="7AE042CC" w:rsidR="00B6741C" w:rsidRPr="00E35E8A" w:rsidRDefault="00B6741C" w:rsidP="00B6741C">
            <w:pPr>
              <w:widowControl/>
              <w:autoSpaceDE/>
              <w:autoSpaceDN/>
              <w:adjustRightInd/>
              <w:rPr>
                <w:rFonts w:cs="Calibri"/>
                <w:i/>
              </w:rPr>
            </w:pPr>
            <w:r w:rsidRPr="00E35E8A">
              <w:rPr>
                <w:rFonts w:cs="Calibri"/>
                <w:b/>
              </w:rPr>
              <w:t>Observation</w:t>
            </w:r>
          </w:p>
        </w:tc>
        <w:tc>
          <w:tcPr>
            <w:tcW w:w="2630" w:type="dxa"/>
          </w:tcPr>
          <w:p w14:paraId="76BC073C" w14:textId="70BBC1B0" w:rsidR="00B6741C" w:rsidRPr="00E35E8A" w:rsidRDefault="00B6741C" w:rsidP="00B6741C">
            <w:pPr>
              <w:widowControl/>
              <w:autoSpaceDE/>
              <w:autoSpaceDN/>
              <w:adjustRightInd/>
              <w:rPr>
                <w:rFonts w:cs="Calibri"/>
                <w:i/>
              </w:rPr>
            </w:pPr>
            <w:r w:rsidRPr="00E35E8A">
              <w:rPr>
                <w:rFonts w:cs="Calibri"/>
                <w:b/>
              </w:rPr>
              <w:t>Federal Monitoring Plan</w:t>
            </w:r>
          </w:p>
        </w:tc>
        <w:tc>
          <w:tcPr>
            <w:tcW w:w="2316" w:type="dxa"/>
          </w:tcPr>
          <w:p w14:paraId="46D0EE63" w14:textId="4A2BA825" w:rsidR="00B6741C" w:rsidRPr="00E35E8A" w:rsidRDefault="00B6741C" w:rsidP="00B6741C">
            <w:pPr>
              <w:widowControl/>
              <w:autoSpaceDE/>
              <w:autoSpaceDN/>
              <w:adjustRightInd/>
              <w:rPr>
                <w:rFonts w:cs="Calibri"/>
                <w:b/>
              </w:rPr>
            </w:pPr>
            <w:r w:rsidRPr="00E35E8A">
              <w:rPr>
                <w:rFonts w:cs="Calibri"/>
                <w:b/>
              </w:rPr>
              <w:t>Current Status</w:t>
            </w:r>
          </w:p>
        </w:tc>
      </w:tr>
      <w:tr w:rsidR="00B6741C" w:rsidRPr="00E35E8A" w14:paraId="715083EB" w14:textId="58561804" w:rsidTr="00B6741C">
        <w:trPr>
          <w:cantSplit/>
        </w:trPr>
        <w:tc>
          <w:tcPr>
            <w:tcW w:w="2657" w:type="dxa"/>
          </w:tcPr>
          <w:p w14:paraId="7834860F" w14:textId="3E8F4FA0" w:rsidR="00B6741C" w:rsidRPr="00E35E8A" w:rsidRDefault="00C47BE9" w:rsidP="00B6741C">
            <w:pPr>
              <w:widowControl/>
              <w:autoSpaceDE/>
              <w:autoSpaceDN/>
              <w:adjustRightInd/>
              <w:rPr>
                <w:rFonts w:cs="Calibri"/>
                <w:iCs/>
                <w:color w:val="0070C0"/>
              </w:rPr>
            </w:pPr>
            <w:r w:rsidRPr="00C47BE9">
              <w:rPr>
                <w:rFonts w:cs="Calibri"/>
                <w:iCs/>
              </w:rPr>
              <w:t>None</w:t>
            </w:r>
          </w:p>
        </w:tc>
        <w:tc>
          <w:tcPr>
            <w:tcW w:w="2690" w:type="dxa"/>
          </w:tcPr>
          <w:p w14:paraId="1207E4E3" w14:textId="77777777" w:rsidR="00B6741C" w:rsidRPr="00E35E8A" w:rsidRDefault="00B6741C" w:rsidP="00B6741C">
            <w:pPr>
              <w:widowControl/>
              <w:autoSpaceDE/>
              <w:autoSpaceDN/>
              <w:adjustRightInd/>
              <w:rPr>
                <w:rFonts w:cs="Calibri"/>
                <w:iCs/>
                <w:color w:val="0070C0"/>
              </w:rPr>
            </w:pPr>
          </w:p>
        </w:tc>
        <w:tc>
          <w:tcPr>
            <w:tcW w:w="2657" w:type="dxa"/>
          </w:tcPr>
          <w:p w14:paraId="53E4A09F" w14:textId="2DCB455F" w:rsidR="00B6741C" w:rsidRPr="00E35E8A" w:rsidRDefault="00B6741C" w:rsidP="00B6741C">
            <w:pPr>
              <w:widowControl/>
              <w:autoSpaceDE/>
              <w:autoSpaceDN/>
              <w:adjustRightInd/>
              <w:rPr>
                <w:rFonts w:cs="Calibri"/>
                <w:iCs/>
                <w:color w:val="0070C0"/>
              </w:rPr>
            </w:pPr>
          </w:p>
        </w:tc>
        <w:tc>
          <w:tcPr>
            <w:tcW w:w="2630" w:type="dxa"/>
          </w:tcPr>
          <w:p w14:paraId="04F2CA88" w14:textId="77777777" w:rsidR="00B6741C" w:rsidRPr="00E35E8A" w:rsidRDefault="00B6741C" w:rsidP="00B6741C">
            <w:pPr>
              <w:widowControl/>
              <w:autoSpaceDE/>
              <w:autoSpaceDN/>
              <w:adjustRightInd/>
              <w:rPr>
                <w:rFonts w:cs="Calibri"/>
                <w:iCs/>
                <w:color w:val="0070C0"/>
              </w:rPr>
            </w:pPr>
          </w:p>
        </w:tc>
        <w:tc>
          <w:tcPr>
            <w:tcW w:w="2316" w:type="dxa"/>
          </w:tcPr>
          <w:p w14:paraId="79E4394D" w14:textId="51C28092" w:rsidR="00B6741C" w:rsidRPr="00E35E8A" w:rsidRDefault="00B6741C" w:rsidP="00B6741C">
            <w:pPr>
              <w:widowControl/>
              <w:autoSpaceDE/>
              <w:autoSpaceDN/>
              <w:adjustRightInd/>
              <w:rPr>
                <w:rFonts w:cs="Calibri"/>
                <w:iCs/>
                <w:color w:val="0070C0"/>
              </w:rPr>
            </w:pPr>
          </w:p>
        </w:tc>
      </w:tr>
    </w:tbl>
    <w:p w14:paraId="5FDB9196" w14:textId="77777777" w:rsidR="00C47BE9" w:rsidRDefault="00C47BE9" w:rsidP="007A71AC">
      <w:pPr>
        <w:widowControl/>
        <w:autoSpaceDE/>
        <w:autoSpaceDN/>
        <w:adjustRightInd/>
        <w:rPr>
          <w:rFonts w:cs="Calibri"/>
          <w:iCs/>
          <w:color w:val="0070C0"/>
        </w:rPr>
      </w:pPr>
    </w:p>
    <w:p w14:paraId="4331DC08" w14:textId="77777777" w:rsidR="00C47BE9" w:rsidRDefault="00C47BE9" w:rsidP="007A71AC">
      <w:pPr>
        <w:widowControl/>
        <w:autoSpaceDE/>
        <w:autoSpaceDN/>
        <w:adjustRightInd/>
        <w:rPr>
          <w:rFonts w:cs="Calibri"/>
          <w:iCs/>
          <w:color w:val="0070C0"/>
        </w:rPr>
      </w:pPr>
    </w:p>
    <w:p w14:paraId="3B2D4298" w14:textId="77777777" w:rsidR="00C47BE9" w:rsidRDefault="00C47BE9" w:rsidP="007A71AC">
      <w:pPr>
        <w:widowControl/>
        <w:autoSpaceDE/>
        <w:autoSpaceDN/>
        <w:adjustRightInd/>
        <w:rPr>
          <w:rFonts w:cs="Calibri"/>
          <w:iCs/>
          <w:color w:val="0070C0"/>
        </w:rPr>
      </w:pPr>
    </w:p>
    <w:p w14:paraId="5CF5F978" w14:textId="77777777" w:rsidR="00C47BE9" w:rsidRDefault="00C47BE9" w:rsidP="007A71AC">
      <w:pPr>
        <w:widowControl/>
        <w:autoSpaceDE/>
        <w:autoSpaceDN/>
        <w:adjustRightInd/>
        <w:rPr>
          <w:rFonts w:cs="Calibri"/>
          <w:iCs/>
          <w:color w:val="0070C0"/>
        </w:rPr>
      </w:pPr>
    </w:p>
    <w:p w14:paraId="66239326" w14:textId="77777777" w:rsidR="00C47BE9" w:rsidRDefault="00C47BE9" w:rsidP="007A71AC">
      <w:pPr>
        <w:widowControl/>
        <w:autoSpaceDE/>
        <w:autoSpaceDN/>
        <w:adjustRightInd/>
        <w:rPr>
          <w:rFonts w:cs="Calibri"/>
          <w:iCs/>
          <w:color w:val="0070C0"/>
        </w:rPr>
      </w:pPr>
    </w:p>
    <w:p w14:paraId="57914C3A" w14:textId="77777777" w:rsidR="00C47BE9" w:rsidRDefault="00C47BE9" w:rsidP="007A71AC">
      <w:pPr>
        <w:widowControl/>
        <w:autoSpaceDE/>
        <w:autoSpaceDN/>
        <w:adjustRightInd/>
        <w:rPr>
          <w:rFonts w:cs="Calibri"/>
          <w:iCs/>
          <w:color w:val="0070C0"/>
        </w:rPr>
      </w:pPr>
    </w:p>
    <w:p w14:paraId="623BE173" w14:textId="77777777" w:rsidR="00C47BE9" w:rsidRDefault="00C47BE9" w:rsidP="007A71AC">
      <w:pPr>
        <w:widowControl/>
        <w:autoSpaceDE/>
        <w:autoSpaceDN/>
        <w:adjustRightInd/>
        <w:rPr>
          <w:rFonts w:cs="Calibri"/>
          <w:iCs/>
          <w:color w:val="0070C0"/>
        </w:rPr>
      </w:pPr>
    </w:p>
    <w:p w14:paraId="2195C5F8" w14:textId="77777777" w:rsidR="00C47BE9" w:rsidRDefault="00C47BE9" w:rsidP="007A71AC">
      <w:pPr>
        <w:widowControl/>
        <w:autoSpaceDE/>
        <w:autoSpaceDN/>
        <w:adjustRightInd/>
        <w:rPr>
          <w:rFonts w:cs="Calibri"/>
          <w:iCs/>
          <w:color w:val="0070C0"/>
        </w:rPr>
      </w:pPr>
    </w:p>
    <w:p w14:paraId="51724D8D" w14:textId="77777777" w:rsidR="00C47BE9" w:rsidRDefault="00C47BE9" w:rsidP="007A71AC">
      <w:pPr>
        <w:widowControl/>
        <w:autoSpaceDE/>
        <w:autoSpaceDN/>
        <w:adjustRightInd/>
        <w:rPr>
          <w:rFonts w:cs="Calibri"/>
          <w:iCs/>
          <w:color w:val="0070C0"/>
        </w:rPr>
      </w:pPr>
    </w:p>
    <w:p w14:paraId="4CB93F08" w14:textId="77777777" w:rsidR="00C47BE9" w:rsidRDefault="00C47BE9" w:rsidP="007A71AC">
      <w:pPr>
        <w:widowControl/>
        <w:autoSpaceDE/>
        <w:autoSpaceDN/>
        <w:adjustRightInd/>
        <w:rPr>
          <w:rFonts w:cs="Calibri"/>
          <w:iCs/>
          <w:color w:val="0070C0"/>
        </w:rPr>
      </w:pPr>
    </w:p>
    <w:p w14:paraId="090C6C86" w14:textId="77777777" w:rsidR="00C47BE9" w:rsidRDefault="00C47BE9" w:rsidP="007A71AC">
      <w:pPr>
        <w:widowControl/>
        <w:autoSpaceDE/>
        <w:autoSpaceDN/>
        <w:adjustRightInd/>
        <w:rPr>
          <w:rFonts w:cs="Calibri"/>
          <w:iCs/>
          <w:color w:val="0070C0"/>
        </w:rPr>
      </w:pPr>
    </w:p>
    <w:p w14:paraId="30AC273C" w14:textId="77777777" w:rsidR="00C47BE9" w:rsidRDefault="00C47BE9" w:rsidP="007A71AC">
      <w:pPr>
        <w:widowControl/>
        <w:autoSpaceDE/>
        <w:autoSpaceDN/>
        <w:adjustRightInd/>
        <w:rPr>
          <w:rFonts w:cs="Calibri"/>
          <w:iCs/>
          <w:color w:val="0070C0"/>
        </w:rPr>
      </w:pPr>
    </w:p>
    <w:p w14:paraId="1886BDCE" w14:textId="77777777" w:rsidR="00C47BE9" w:rsidRDefault="00C47BE9" w:rsidP="007A71AC">
      <w:pPr>
        <w:widowControl/>
        <w:autoSpaceDE/>
        <w:autoSpaceDN/>
        <w:adjustRightInd/>
        <w:rPr>
          <w:rFonts w:cs="Calibri"/>
          <w:iCs/>
          <w:color w:val="0070C0"/>
        </w:rPr>
      </w:pPr>
    </w:p>
    <w:p w14:paraId="3053B914" w14:textId="77777777" w:rsidR="00C47BE9" w:rsidRDefault="00C47BE9" w:rsidP="007A71AC">
      <w:pPr>
        <w:widowControl/>
        <w:autoSpaceDE/>
        <w:autoSpaceDN/>
        <w:adjustRightInd/>
        <w:rPr>
          <w:rFonts w:cs="Calibri"/>
          <w:iCs/>
          <w:color w:val="0070C0"/>
        </w:rPr>
      </w:pPr>
    </w:p>
    <w:p w14:paraId="130C2B77" w14:textId="77777777" w:rsidR="00C47BE9" w:rsidRDefault="00C47BE9" w:rsidP="007A71AC">
      <w:pPr>
        <w:widowControl/>
        <w:autoSpaceDE/>
        <w:autoSpaceDN/>
        <w:adjustRightInd/>
        <w:rPr>
          <w:rFonts w:cs="Calibri"/>
          <w:iCs/>
          <w:color w:val="0070C0"/>
        </w:rPr>
      </w:pPr>
    </w:p>
    <w:p w14:paraId="049F06B4" w14:textId="77777777" w:rsidR="00C47BE9" w:rsidRDefault="00C47BE9" w:rsidP="007A71AC">
      <w:pPr>
        <w:widowControl/>
        <w:autoSpaceDE/>
        <w:autoSpaceDN/>
        <w:adjustRightInd/>
        <w:rPr>
          <w:rFonts w:cs="Calibri"/>
          <w:iCs/>
          <w:color w:val="0070C0"/>
        </w:rPr>
      </w:pPr>
    </w:p>
    <w:p w14:paraId="5E130C33" w14:textId="77777777" w:rsidR="00C47BE9" w:rsidRDefault="00C47BE9" w:rsidP="007A71AC">
      <w:pPr>
        <w:widowControl/>
        <w:autoSpaceDE/>
        <w:autoSpaceDN/>
        <w:adjustRightInd/>
        <w:rPr>
          <w:rFonts w:cs="Calibri"/>
          <w:iCs/>
          <w:color w:val="0070C0"/>
        </w:rPr>
      </w:pPr>
    </w:p>
    <w:p w14:paraId="5E478BDA" w14:textId="77777777" w:rsidR="00C47BE9" w:rsidRDefault="00C47BE9" w:rsidP="007A71AC">
      <w:pPr>
        <w:widowControl/>
        <w:autoSpaceDE/>
        <w:autoSpaceDN/>
        <w:adjustRightInd/>
        <w:rPr>
          <w:rFonts w:cs="Calibri"/>
          <w:iCs/>
          <w:color w:val="0070C0"/>
        </w:rPr>
      </w:pPr>
    </w:p>
    <w:p w14:paraId="6508EEA9" w14:textId="77777777" w:rsidR="00525399" w:rsidRDefault="00525399" w:rsidP="007A71AC">
      <w:pPr>
        <w:widowControl/>
        <w:autoSpaceDE/>
        <w:autoSpaceDN/>
        <w:adjustRightInd/>
        <w:rPr>
          <w:rFonts w:cs="Calibri"/>
          <w:iCs/>
          <w:color w:val="0070C0"/>
        </w:rPr>
      </w:pPr>
    </w:p>
    <w:p w14:paraId="4B59C556" w14:textId="77777777" w:rsidR="00C47BE9" w:rsidRDefault="00C47BE9" w:rsidP="007A71AC">
      <w:pPr>
        <w:widowControl/>
        <w:autoSpaceDE/>
        <w:autoSpaceDN/>
        <w:adjustRightInd/>
        <w:rPr>
          <w:rFonts w:cs="Calibri"/>
          <w:iCs/>
          <w:color w:val="0070C0"/>
        </w:rPr>
      </w:pPr>
    </w:p>
    <w:p w14:paraId="2EC65FED" w14:textId="77777777" w:rsidR="00C47BE9" w:rsidRDefault="00C47BE9" w:rsidP="007A71AC">
      <w:pPr>
        <w:widowControl/>
        <w:autoSpaceDE/>
        <w:autoSpaceDN/>
        <w:adjustRightInd/>
        <w:rPr>
          <w:rFonts w:cs="Calibri"/>
          <w:iCs/>
          <w:color w:val="0070C0"/>
        </w:rPr>
      </w:pPr>
    </w:p>
    <w:p w14:paraId="35550CD0" w14:textId="77777777" w:rsidR="00C47BE9" w:rsidRDefault="00C47BE9" w:rsidP="007A71AC">
      <w:pPr>
        <w:widowControl/>
        <w:autoSpaceDE/>
        <w:autoSpaceDN/>
        <w:adjustRightInd/>
        <w:rPr>
          <w:rFonts w:cs="Calibri"/>
          <w:iCs/>
          <w:color w:val="0070C0"/>
        </w:rPr>
      </w:pPr>
    </w:p>
    <w:p w14:paraId="01176981" w14:textId="68924B75" w:rsidR="00747710" w:rsidRDefault="00747710" w:rsidP="000F63C1">
      <w:pPr>
        <w:pStyle w:val="Heading3"/>
        <w:numPr>
          <w:ilvl w:val="0"/>
          <w:numId w:val="0"/>
        </w:numPr>
      </w:pPr>
      <w:bookmarkStart w:id="34" w:name="_Toc118905019"/>
      <w:bookmarkStart w:id="35" w:name="_Toc119418671"/>
      <w:r w:rsidRPr="00747710">
        <w:t>Appendix C - Status of FY 20</w:t>
      </w:r>
      <w:r w:rsidR="00C47BE9">
        <w:t>23</w:t>
      </w:r>
      <w:r w:rsidRPr="00747710">
        <w:t xml:space="preserve"> Findings and Recommendations</w:t>
      </w:r>
      <w:bookmarkEnd w:id="34"/>
      <w:bookmarkEnd w:id="35"/>
    </w:p>
    <w:p w14:paraId="3D850E81" w14:textId="61349089" w:rsidR="00747710" w:rsidRPr="00747710" w:rsidRDefault="00747710" w:rsidP="005367D5">
      <w:r w:rsidRPr="00747710">
        <w:t>FY 20</w:t>
      </w:r>
      <w:r w:rsidR="00C47BE9">
        <w:t>24</w:t>
      </w:r>
      <w:r w:rsidRPr="00747710">
        <w:t xml:space="preserve"> </w:t>
      </w:r>
      <w:r w:rsidR="00C47BE9">
        <w:t>North Carolina</w:t>
      </w:r>
      <w:r w:rsidRPr="00476C08">
        <w:rPr>
          <w:color w:val="0070C0"/>
        </w:rPr>
        <w:t xml:space="preserve"> </w:t>
      </w:r>
      <w:r w:rsidRPr="00747710">
        <w:t>Follow-up FAME Report</w:t>
      </w:r>
    </w:p>
    <w:p w14:paraId="45E6B5CB" w14:textId="3ED906A9" w:rsidR="005367D5" w:rsidRDefault="005367D5" w:rsidP="007A71AC">
      <w:pPr>
        <w:widowControl/>
        <w:autoSpaceDE/>
        <w:autoSpaceDN/>
        <w:adjustRightInd/>
        <w:rPr>
          <w:rFonts w:cs="Calibri"/>
          <w:iCs/>
        </w:rPr>
      </w:pP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1C1E47" w14:paraId="04152CB8" w14:textId="77777777" w:rsidTr="00D93CB3">
        <w:trPr>
          <w:trHeight w:val="412"/>
        </w:trPr>
        <w:tc>
          <w:tcPr>
            <w:tcW w:w="1435" w:type="dxa"/>
          </w:tcPr>
          <w:p w14:paraId="0FAB4AA2" w14:textId="65619E48" w:rsidR="005367D5" w:rsidRPr="001C1E47" w:rsidRDefault="005367D5" w:rsidP="00D93CB3">
            <w:pPr>
              <w:rPr>
                <w:rFonts w:cs="Calibri"/>
                <w:b/>
              </w:rPr>
            </w:pPr>
            <w:r w:rsidRPr="001C1E47">
              <w:rPr>
                <w:rFonts w:cs="Calibri"/>
                <w:b/>
              </w:rPr>
              <w:t>FY 20</w:t>
            </w:r>
            <w:r w:rsidR="00CC5ABD">
              <w:rPr>
                <w:rFonts w:cs="Calibri"/>
                <w:b/>
              </w:rPr>
              <w:t>23</w:t>
            </w:r>
            <w:r w:rsidRPr="001C1E47">
              <w:rPr>
                <w:rFonts w:cs="Calibri"/>
                <w:b/>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96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592" w:type="dxa"/>
          </w:tcPr>
          <w:p w14:paraId="5151BE67" w14:textId="77777777" w:rsidR="005367D5" w:rsidRPr="001C1E47" w:rsidRDefault="005367D5" w:rsidP="00D93CB3">
            <w:pPr>
              <w:rPr>
                <w:rFonts w:cs="Calibri"/>
                <w:b/>
              </w:rPr>
            </w:pPr>
            <w:r w:rsidRPr="001C1E47">
              <w:rPr>
                <w:rFonts w:cs="Calibri"/>
                <w:b/>
              </w:rPr>
              <w:t>Completion Date</w:t>
            </w:r>
          </w:p>
        </w:tc>
        <w:tc>
          <w:tcPr>
            <w:tcW w:w="225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5367D5" w:rsidRPr="001C1E47" w14:paraId="7244A508" w14:textId="77777777" w:rsidTr="00D93CB3">
        <w:trPr>
          <w:trHeight w:val="412"/>
        </w:trPr>
        <w:tc>
          <w:tcPr>
            <w:tcW w:w="1435" w:type="dxa"/>
          </w:tcPr>
          <w:p w14:paraId="3B6143AB" w14:textId="44B4D488"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bCs/>
                <w:sz w:val="22"/>
                <w:szCs w:val="22"/>
              </w:rPr>
            </w:pPr>
            <w:r w:rsidRPr="001C1E47">
              <w:rPr>
                <w:rFonts w:eastAsia="PMingLiU" w:cs="Calibri"/>
                <w:b/>
                <w:bCs/>
                <w:sz w:val="22"/>
                <w:szCs w:val="22"/>
              </w:rPr>
              <w:t> </w:t>
            </w:r>
            <w:r w:rsidR="00C47BE9">
              <w:rPr>
                <w:rFonts w:eastAsia="PMingLiU" w:cs="Calibri"/>
                <w:b/>
                <w:bCs/>
                <w:sz w:val="22"/>
                <w:szCs w:val="22"/>
              </w:rPr>
              <w:t>None</w:t>
            </w:r>
          </w:p>
        </w:tc>
        <w:tc>
          <w:tcPr>
            <w:tcW w:w="2098" w:type="dxa"/>
          </w:tcPr>
          <w:p w14:paraId="1D6DD323"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2250" w:type="dxa"/>
          </w:tcPr>
          <w:p w14:paraId="19499B4B"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3960" w:type="dxa"/>
          </w:tcPr>
          <w:p w14:paraId="37D73ADA"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1592" w:type="dxa"/>
          </w:tcPr>
          <w:p w14:paraId="56F99649"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2250" w:type="dxa"/>
          </w:tcPr>
          <w:p w14:paraId="4007473C"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r>
    </w:tbl>
    <w:p w14:paraId="7716FE63" w14:textId="77777777" w:rsidR="00C47BE9" w:rsidRDefault="00C47BE9" w:rsidP="008164E8">
      <w:pPr>
        <w:widowControl/>
        <w:tabs>
          <w:tab w:val="left" w:pos="630"/>
        </w:tabs>
        <w:autoSpaceDE/>
        <w:autoSpaceDN/>
        <w:adjustRightInd/>
        <w:ind w:left="720" w:hanging="360"/>
        <w:rPr>
          <w:rFonts w:cs="Calibri"/>
          <w:iCs/>
          <w:color w:val="0070C0"/>
        </w:rPr>
      </w:pPr>
    </w:p>
    <w:p w14:paraId="0E90BD19" w14:textId="77777777" w:rsidR="00C47BE9" w:rsidRDefault="00C47BE9" w:rsidP="008164E8">
      <w:pPr>
        <w:widowControl/>
        <w:tabs>
          <w:tab w:val="left" w:pos="630"/>
        </w:tabs>
        <w:autoSpaceDE/>
        <w:autoSpaceDN/>
        <w:adjustRightInd/>
        <w:ind w:left="720" w:hanging="360"/>
        <w:rPr>
          <w:rFonts w:cs="Calibri"/>
          <w:iCs/>
          <w:color w:val="0070C0"/>
        </w:rPr>
      </w:pPr>
    </w:p>
    <w:p w14:paraId="30C49CA5" w14:textId="77777777" w:rsidR="00C47BE9" w:rsidRDefault="00C47BE9" w:rsidP="008164E8">
      <w:pPr>
        <w:widowControl/>
        <w:tabs>
          <w:tab w:val="left" w:pos="630"/>
        </w:tabs>
        <w:autoSpaceDE/>
        <w:autoSpaceDN/>
        <w:adjustRightInd/>
        <w:ind w:left="720" w:hanging="360"/>
        <w:rPr>
          <w:rFonts w:cs="Calibri"/>
          <w:iCs/>
          <w:color w:val="0070C0"/>
        </w:rPr>
      </w:pPr>
    </w:p>
    <w:p w14:paraId="61810993" w14:textId="77777777" w:rsidR="00C47BE9" w:rsidRDefault="00C47BE9" w:rsidP="008164E8">
      <w:pPr>
        <w:widowControl/>
        <w:tabs>
          <w:tab w:val="left" w:pos="630"/>
        </w:tabs>
        <w:autoSpaceDE/>
        <w:autoSpaceDN/>
        <w:adjustRightInd/>
        <w:ind w:left="720" w:hanging="360"/>
        <w:rPr>
          <w:rFonts w:cs="Calibri"/>
          <w:iCs/>
          <w:color w:val="0070C0"/>
        </w:rPr>
      </w:pPr>
    </w:p>
    <w:p w14:paraId="3221E764" w14:textId="77777777" w:rsidR="00C47BE9" w:rsidRDefault="00C47BE9" w:rsidP="008164E8">
      <w:pPr>
        <w:widowControl/>
        <w:tabs>
          <w:tab w:val="left" w:pos="630"/>
        </w:tabs>
        <w:autoSpaceDE/>
        <w:autoSpaceDN/>
        <w:adjustRightInd/>
        <w:ind w:left="720" w:hanging="360"/>
        <w:rPr>
          <w:rFonts w:cs="Calibri"/>
          <w:iCs/>
          <w:color w:val="0070C0"/>
        </w:rPr>
      </w:pPr>
    </w:p>
    <w:p w14:paraId="519671E1" w14:textId="77777777" w:rsidR="00C47BE9" w:rsidRDefault="00C47BE9" w:rsidP="008164E8">
      <w:pPr>
        <w:widowControl/>
        <w:tabs>
          <w:tab w:val="left" w:pos="630"/>
        </w:tabs>
        <w:autoSpaceDE/>
        <w:autoSpaceDN/>
        <w:adjustRightInd/>
        <w:ind w:left="720" w:hanging="360"/>
        <w:rPr>
          <w:rFonts w:cs="Calibri"/>
          <w:iCs/>
          <w:color w:val="0070C0"/>
        </w:rPr>
      </w:pPr>
    </w:p>
    <w:p w14:paraId="578EFDDD" w14:textId="77777777" w:rsidR="00C47BE9" w:rsidRDefault="00C47BE9" w:rsidP="008164E8">
      <w:pPr>
        <w:widowControl/>
        <w:tabs>
          <w:tab w:val="left" w:pos="630"/>
        </w:tabs>
        <w:autoSpaceDE/>
        <w:autoSpaceDN/>
        <w:adjustRightInd/>
        <w:ind w:left="720" w:hanging="360"/>
        <w:rPr>
          <w:rFonts w:cs="Calibri"/>
          <w:iCs/>
          <w:color w:val="0070C0"/>
        </w:rPr>
      </w:pPr>
    </w:p>
    <w:p w14:paraId="614ED289" w14:textId="77777777" w:rsidR="00C47BE9" w:rsidRDefault="00C47BE9" w:rsidP="008164E8">
      <w:pPr>
        <w:widowControl/>
        <w:tabs>
          <w:tab w:val="left" w:pos="630"/>
        </w:tabs>
        <w:autoSpaceDE/>
        <w:autoSpaceDN/>
        <w:adjustRightInd/>
        <w:ind w:left="720" w:hanging="360"/>
        <w:rPr>
          <w:rFonts w:cs="Calibri"/>
          <w:iCs/>
          <w:color w:val="0070C0"/>
        </w:rPr>
      </w:pPr>
    </w:p>
    <w:p w14:paraId="33B66D64" w14:textId="77777777" w:rsidR="00C47BE9" w:rsidRDefault="00C47BE9" w:rsidP="008164E8">
      <w:pPr>
        <w:widowControl/>
        <w:tabs>
          <w:tab w:val="left" w:pos="630"/>
        </w:tabs>
        <w:autoSpaceDE/>
        <w:autoSpaceDN/>
        <w:adjustRightInd/>
        <w:ind w:left="720" w:hanging="360"/>
        <w:rPr>
          <w:rFonts w:cs="Calibri"/>
          <w:iCs/>
          <w:color w:val="0070C0"/>
        </w:rPr>
      </w:pPr>
    </w:p>
    <w:p w14:paraId="32608E04" w14:textId="77777777" w:rsidR="00C47BE9" w:rsidRDefault="00C47BE9" w:rsidP="008164E8">
      <w:pPr>
        <w:widowControl/>
        <w:tabs>
          <w:tab w:val="left" w:pos="630"/>
        </w:tabs>
        <w:autoSpaceDE/>
        <w:autoSpaceDN/>
        <w:adjustRightInd/>
        <w:ind w:left="720" w:hanging="360"/>
        <w:rPr>
          <w:rFonts w:cs="Calibri"/>
          <w:iCs/>
          <w:color w:val="0070C0"/>
        </w:rPr>
      </w:pPr>
    </w:p>
    <w:p w14:paraId="375ECC29" w14:textId="77777777" w:rsidR="00C47BE9" w:rsidRDefault="00C47BE9" w:rsidP="008164E8">
      <w:pPr>
        <w:widowControl/>
        <w:tabs>
          <w:tab w:val="left" w:pos="630"/>
        </w:tabs>
        <w:autoSpaceDE/>
        <w:autoSpaceDN/>
        <w:adjustRightInd/>
        <w:ind w:left="720" w:hanging="360"/>
        <w:rPr>
          <w:rFonts w:cs="Calibri"/>
          <w:iCs/>
          <w:color w:val="0070C0"/>
        </w:rPr>
      </w:pPr>
    </w:p>
    <w:p w14:paraId="6A2CCE3B" w14:textId="77777777" w:rsidR="00C47BE9" w:rsidRDefault="00C47BE9" w:rsidP="008164E8">
      <w:pPr>
        <w:widowControl/>
        <w:tabs>
          <w:tab w:val="left" w:pos="630"/>
        </w:tabs>
        <w:autoSpaceDE/>
        <w:autoSpaceDN/>
        <w:adjustRightInd/>
        <w:ind w:left="720" w:hanging="360"/>
        <w:rPr>
          <w:rFonts w:cs="Calibri"/>
          <w:iCs/>
          <w:color w:val="0070C0"/>
        </w:rPr>
      </w:pPr>
    </w:p>
    <w:p w14:paraId="4E3A51D3" w14:textId="77777777" w:rsidR="00C47BE9" w:rsidRDefault="00C47BE9" w:rsidP="008164E8">
      <w:pPr>
        <w:widowControl/>
        <w:tabs>
          <w:tab w:val="left" w:pos="630"/>
        </w:tabs>
        <w:autoSpaceDE/>
        <w:autoSpaceDN/>
        <w:adjustRightInd/>
        <w:ind w:left="720" w:hanging="360"/>
        <w:rPr>
          <w:rFonts w:cs="Calibri"/>
          <w:iCs/>
          <w:color w:val="0070C0"/>
        </w:rPr>
      </w:pPr>
    </w:p>
    <w:p w14:paraId="7D549CF1" w14:textId="77777777" w:rsidR="00C47BE9" w:rsidRDefault="00C47BE9" w:rsidP="008164E8">
      <w:pPr>
        <w:widowControl/>
        <w:tabs>
          <w:tab w:val="left" w:pos="630"/>
        </w:tabs>
        <w:autoSpaceDE/>
        <w:autoSpaceDN/>
        <w:adjustRightInd/>
        <w:ind w:left="720" w:hanging="360"/>
        <w:rPr>
          <w:rFonts w:cs="Calibri"/>
          <w:iCs/>
          <w:color w:val="0070C0"/>
        </w:rPr>
      </w:pPr>
    </w:p>
    <w:p w14:paraId="5A163C8E" w14:textId="1F9EC252" w:rsidR="00C47BE9" w:rsidRPr="008164E8" w:rsidRDefault="00C47BE9" w:rsidP="008164E8">
      <w:pPr>
        <w:widowControl/>
        <w:tabs>
          <w:tab w:val="left" w:pos="630"/>
        </w:tabs>
        <w:autoSpaceDE/>
        <w:autoSpaceDN/>
        <w:adjustRightInd/>
        <w:ind w:left="720" w:hanging="360"/>
        <w:rPr>
          <w:rFonts w:cs="Calibri"/>
          <w:iCs/>
          <w:color w:val="0070C0"/>
        </w:rPr>
        <w:sectPr w:rsidR="00C47BE9" w:rsidRPr="008164E8" w:rsidSect="00476C08">
          <w:headerReference w:type="default" r:id="rId11"/>
          <w:headerReference w:type="first" r:id="rId12"/>
          <w:footerReference w:type="first" r:id="rId13"/>
          <w:pgSz w:w="15840" w:h="12240" w:orient="landscape"/>
          <w:pgMar w:top="1440" w:right="1440" w:bottom="1440" w:left="1440" w:header="630" w:footer="720" w:gutter="0"/>
          <w:cols w:space="720"/>
          <w:titlePg/>
          <w:docGrid w:linePitch="360"/>
        </w:sectPr>
      </w:pPr>
    </w:p>
    <w:p w14:paraId="1B0B407C" w14:textId="4C7EC1C1" w:rsidR="00690C0D" w:rsidRPr="00D93CB3" w:rsidRDefault="00690C0D" w:rsidP="000F63C1">
      <w:pPr>
        <w:pStyle w:val="Heading3"/>
        <w:numPr>
          <w:ilvl w:val="0"/>
          <w:numId w:val="0"/>
        </w:numPr>
        <w:rPr>
          <w:color w:val="0070C0"/>
        </w:rPr>
      </w:pPr>
      <w:bookmarkStart w:id="36" w:name="_Toc119418672"/>
      <w:r w:rsidRPr="008E4054">
        <w:t xml:space="preserve">Appendix D – </w:t>
      </w:r>
      <w:bookmarkStart w:id="37" w:name="_Hlk119349018"/>
      <w:r w:rsidRPr="008E4054">
        <w:t>FY 20</w:t>
      </w:r>
      <w:r w:rsidR="00762EE9">
        <w:t>24</w:t>
      </w:r>
      <w:r w:rsidRPr="008E4054">
        <w:t xml:space="preserve"> State Activity Mandated Measures (SAMM) Report</w:t>
      </w:r>
      <w:bookmarkEnd w:id="36"/>
      <w:bookmarkEnd w:id="37"/>
    </w:p>
    <w:p w14:paraId="19B594E3" w14:textId="25C8175A" w:rsidR="00690C0D" w:rsidRPr="000767C0" w:rsidRDefault="00690C0D" w:rsidP="00476C08">
      <w:pPr>
        <w:pStyle w:val="Header"/>
      </w:pPr>
      <w:r w:rsidRPr="00042327">
        <w:t xml:space="preserve">FY </w:t>
      </w:r>
      <w:r>
        <w:t>20</w:t>
      </w:r>
      <w:r w:rsidR="00C47BE9">
        <w:t>24</w:t>
      </w:r>
      <w:r w:rsidRPr="00042327">
        <w:t xml:space="preserve"> </w:t>
      </w:r>
      <w:r w:rsidR="00C47BE9">
        <w:t>North Carolina</w:t>
      </w:r>
      <w:r w:rsidRPr="00476C08">
        <w:rPr>
          <w:color w:val="0070C0"/>
        </w:rPr>
        <w:t xml:space="preserve">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48"/>
        <w:gridCol w:w="1310"/>
        <w:gridCol w:w="1323"/>
        <w:gridCol w:w="4235"/>
      </w:tblGrid>
      <w:tr w:rsidR="005F71A2" w:rsidRPr="001C1E47" w14:paraId="4B607DC1" w14:textId="77777777" w:rsidTr="005F71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57458A14" w14:textId="5DC6CEDD"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bookmarkStart w:id="38" w:name="_Hlk179982501"/>
            <w:r w:rsidRPr="0066399C">
              <w:rPr>
                <w:rFonts w:eastAsia="PMingLiU" w:cs="Calibri"/>
                <w:color w:val="auto"/>
              </w:rPr>
              <w:t>SAMM Number</w:t>
            </w:r>
          </w:p>
        </w:tc>
        <w:tc>
          <w:tcPr>
            <w:tcW w:w="2448" w:type="dxa"/>
            <w:tcBorders>
              <w:left w:val="single" w:sz="4" w:space="0" w:color="000000"/>
              <w:right w:val="single" w:sz="4" w:space="0" w:color="000000"/>
            </w:tcBorders>
            <w:shd w:val="clear" w:color="auto" w:fill="auto"/>
          </w:tcPr>
          <w:p w14:paraId="21CEF63D" w14:textId="676C0BAA"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66399C">
              <w:rPr>
                <w:rFonts w:eastAsia="PMingLiU" w:cs="Calibri"/>
                <w:color w:val="auto"/>
              </w:rPr>
              <w:t>SAMM Name</w:t>
            </w:r>
          </w:p>
        </w:tc>
        <w:tc>
          <w:tcPr>
            <w:tcW w:w="1310" w:type="dxa"/>
            <w:tcBorders>
              <w:left w:val="single" w:sz="4" w:space="0" w:color="000000"/>
              <w:right w:val="single" w:sz="4" w:space="0" w:color="000000"/>
            </w:tcBorders>
            <w:shd w:val="clear" w:color="auto" w:fill="auto"/>
          </w:tcPr>
          <w:p w14:paraId="1BC934E4" w14:textId="5912BE30"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66399C">
              <w:rPr>
                <w:rFonts w:eastAsia="PMingLiU" w:cs="Calibri"/>
                <w:color w:val="auto"/>
              </w:rPr>
              <w:t>State Plan Data</w:t>
            </w:r>
          </w:p>
        </w:tc>
        <w:tc>
          <w:tcPr>
            <w:tcW w:w="1323" w:type="dxa"/>
            <w:tcBorders>
              <w:left w:val="single" w:sz="4" w:space="0" w:color="000000"/>
              <w:right w:val="single" w:sz="4" w:space="0" w:color="000000"/>
            </w:tcBorders>
            <w:shd w:val="clear" w:color="auto" w:fill="auto"/>
          </w:tcPr>
          <w:p w14:paraId="10FEC12F" w14:textId="743DB41B"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66399C">
              <w:rPr>
                <w:rFonts w:eastAsia="PMingLiU" w:cs="Calibri"/>
                <w:color w:val="auto"/>
              </w:rPr>
              <w:t>Further Review Level</w:t>
            </w:r>
          </w:p>
        </w:tc>
        <w:tc>
          <w:tcPr>
            <w:tcW w:w="4235" w:type="dxa"/>
            <w:tcBorders>
              <w:left w:val="single" w:sz="4" w:space="0" w:color="000000"/>
            </w:tcBorders>
            <w:shd w:val="clear" w:color="auto" w:fill="auto"/>
          </w:tcPr>
          <w:p w14:paraId="1845DDF3" w14:textId="16BBD07F"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66399C">
              <w:rPr>
                <w:rFonts w:eastAsia="PMingLiU" w:cs="Calibri"/>
                <w:color w:val="auto"/>
              </w:rPr>
              <w:t>Notes</w:t>
            </w:r>
          </w:p>
        </w:tc>
      </w:tr>
      <w:tr w:rsidR="005F71A2" w:rsidRPr="001C1E47" w14:paraId="23E15083"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4FC54415" w14:textId="6002FA38"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1a</w:t>
            </w:r>
          </w:p>
        </w:tc>
        <w:tc>
          <w:tcPr>
            <w:tcW w:w="2448" w:type="dxa"/>
          </w:tcPr>
          <w:p w14:paraId="5DD1B3D7" w14:textId="36C1CBE6"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Average number of work days to initiate complaint inspections (state formula)</w:t>
            </w:r>
          </w:p>
        </w:tc>
        <w:tc>
          <w:tcPr>
            <w:tcW w:w="1310" w:type="dxa"/>
          </w:tcPr>
          <w:p w14:paraId="50ED339E" w14:textId="05A4D806"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4.33</w:t>
            </w:r>
          </w:p>
        </w:tc>
        <w:tc>
          <w:tcPr>
            <w:tcW w:w="1323" w:type="dxa"/>
          </w:tcPr>
          <w:p w14:paraId="36E21F8C" w14:textId="3F83D6C1"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10</w:t>
            </w:r>
          </w:p>
        </w:tc>
        <w:tc>
          <w:tcPr>
            <w:tcW w:w="4235" w:type="dxa"/>
          </w:tcPr>
          <w:p w14:paraId="1BE10DF6" w14:textId="07BB94B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negotiated by OSHA and the State Plan.</w:t>
            </w:r>
          </w:p>
        </w:tc>
      </w:tr>
      <w:tr w:rsidR="005F71A2" w:rsidRPr="001C1E47" w14:paraId="6E87F5F9"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15DA89A2" w14:textId="034A046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1b</w:t>
            </w:r>
          </w:p>
        </w:tc>
        <w:tc>
          <w:tcPr>
            <w:tcW w:w="2448" w:type="dxa"/>
          </w:tcPr>
          <w:p w14:paraId="7BDECFBC" w14:textId="3B4FE5B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Average number of work days to initiate complaint inspections (federal formula)</w:t>
            </w:r>
          </w:p>
        </w:tc>
        <w:tc>
          <w:tcPr>
            <w:tcW w:w="1310" w:type="dxa"/>
          </w:tcPr>
          <w:p w14:paraId="2DD44EDE" w14:textId="75649104"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1.64</w:t>
            </w:r>
          </w:p>
        </w:tc>
        <w:tc>
          <w:tcPr>
            <w:tcW w:w="1323" w:type="dxa"/>
          </w:tcPr>
          <w:p w14:paraId="44E25FF5" w14:textId="0F3C935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N/A</w:t>
            </w:r>
          </w:p>
        </w:tc>
        <w:tc>
          <w:tcPr>
            <w:tcW w:w="4235" w:type="dxa"/>
          </w:tcPr>
          <w:p w14:paraId="3B881485" w14:textId="3FF90CF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This measure is for informational purposes only and is not a mandated measure.</w:t>
            </w:r>
          </w:p>
        </w:tc>
      </w:tr>
      <w:tr w:rsidR="005F71A2" w:rsidRPr="001C1E47" w14:paraId="7254895F"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70F4527B" w14:textId="63DB0D4D"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2a</w:t>
            </w:r>
          </w:p>
        </w:tc>
        <w:tc>
          <w:tcPr>
            <w:tcW w:w="2448" w:type="dxa"/>
          </w:tcPr>
          <w:p w14:paraId="680D30CB" w14:textId="69CDC9F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Average number of work days to initiate complaint investigations (state formula)</w:t>
            </w:r>
          </w:p>
        </w:tc>
        <w:tc>
          <w:tcPr>
            <w:tcW w:w="1310" w:type="dxa"/>
          </w:tcPr>
          <w:p w14:paraId="5D15BC2D" w14:textId="04E77ED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2.17</w:t>
            </w:r>
          </w:p>
        </w:tc>
        <w:tc>
          <w:tcPr>
            <w:tcW w:w="1323" w:type="dxa"/>
          </w:tcPr>
          <w:p w14:paraId="25E101C9" w14:textId="4AE72ED1"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4</w:t>
            </w:r>
          </w:p>
        </w:tc>
        <w:tc>
          <w:tcPr>
            <w:tcW w:w="4235" w:type="dxa"/>
          </w:tcPr>
          <w:p w14:paraId="440E4407" w14:textId="576A09DD"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negotiated by OSHA and the State Plan.</w:t>
            </w:r>
          </w:p>
        </w:tc>
      </w:tr>
      <w:tr w:rsidR="005F71A2" w:rsidRPr="001C1E47" w14:paraId="43AA3020"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3026F0A2" w14:textId="73437AB6"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2b</w:t>
            </w:r>
          </w:p>
        </w:tc>
        <w:tc>
          <w:tcPr>
            <w:tcW w:w="2448" w:type="dxa"/>
          </w:tcPr>
          <w:p w14:paraId="60EA38B6" w14:textId="48F201B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Average number of work days to initiate complaint investigations (federal formula)</w:t>
            </w:r>
          </w:p>
        </w:tc>
        <w:tc>
          <w:tcPr>
            <w:tcW w:w="1310" w:type="dxa"/>
          </w:tcPr>
          <w:p w14:paraId="148E915C" w14:textId="17BAD2C1"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0.93</w:t>
            </w:r>
          </w:p>
        </w:tc>
        <w:tc>
          <w:tcPr>
            <w:tcW w:w="1323" w:type="dxa"/>
          </w:tcPr>
          <w:p w14:paraId="3C6B37D6" w14:textId="66BFB30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N/A</w:t>
            </w:r>
          </w:p>
        </w:tc>
        <w:tc>
          <w:tcPr>
            <w:tcW w:w="4235" w:type="dxa"/>
          </w:tcPr>
          <w:p w14:paraId="7849D62B" w14:textId="6C341CBA"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This measure is for informational purposes only and is not a mandated measure.</w:t>
            </w:r>
          </w:p>
        </w:tc>
      </w:tr>
      <w:tr w:rsidR="005F71A2" w:rsidRPr="001C1E47" w14:paraId="463E07C8"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730502E1" w14:textId="5A3DCD7D"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3</w:t>
            </w:r>
          </w:p>
        </w:tc>
        <w:tc>
          <w:tcPr>
            <w:tcW w:w="2448" w:type="dxa"/>
          </w:tcPr>
          <w:p w14:paraId="224C67FA" w14:textId="1452D600"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Percent of complaints and referrals responded to within one workday (imminent danger)</w:t>
            </w:r>
          </w:p>
        </w:tc>
        <w:tc>
          <w:tcPr>
            <w:tcW w:w="1310" w:type="dxa"/>
          </w:tcPr>
          <w:p w14:paraId="683DAD92" w14:textId="1BA620D8"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100%</w:t>
            </w:r>
          </w:p>
        </w:tc>
        <w:tc>
          <w:tcPr>
            <w:tcW w:w="1323" w:type="dxa"/>
          </w:tcPr>
          <w:p w14:paraId="2138AC62" w14:textId="67DD2EC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100%</w:t>
            </w:r>
          </w:p>
        </w:tc>
        <w:tc>
          <w:tcPr>
            <w:tcW w:w="4235" w:type="dxa"/>
          </w:tcPr>
          <w:p w14:paraId="1639E620" w14:textId="18A5B45A"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fixed for all State Plans.</w:t>
            </w:r>
          </w:p>
        </w:tc>
      </w:tr>
      <w:tr w:rsidR="005F71A2" w:rsidRPr="001C1E47" w14:paraId="448E8EB5"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54BD594C" w14:textId="561666BA"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4</w:t>
            </w:r>
          </w:p>
        </w:tc>
        <w:tc>
          <w:tcPr>
            <w:tcW w:w="2448" w:type="dxa"/>
          </w:tcPr>
          <w:p w14:paraId="7F17AA0C" w14:textId="4304CD7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Number of denials where entry not obtained</w:t>
            </w:r>
          </w:p>
        </w:tc>
        <w:tc>
          <w:tcPr>
            <w:tcW w:w="1310" w:type="dxa"/>
          </w:tcPr>
          <w:p w14:paraId="49E38EB6" w14:textId="488E1C94"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0</w:t>
            </w:r>
          </w:p>
        </w:tc>
        <w:tc>
          <w:tcPr>
            <w:tcW w:w="1323" w:type="dxa"/>
          </w:tcPr>
          <w:p w14:paraId="39E6BBCD" w14:textId="6F783AD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0</w:t>
            </w:r>
          </w:p>
        </w:tc>
        <w:tc>
          <w:tcPr>
            <w:tcW w:w="4235" w:type="dxa"/>
          </w:tcPr>
          <w:p w14:paraId="63BF7F96" w14:textId="64A8394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fixed for all State Plans.</w:t>
            </w:r>
          </w:p>
        </w:tc>
      </w:tr>
      <w:tr w:rsidR="005F71A2" w:rsidRPr="001C1E47" w14:paraId="391899CE" w14:textId="77777777" w:rsidTr="005F71A2">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2C05A134" w14:textId="14FF7E1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5a</w:t>
            </w:r>
          </w:p>
        </w:tc>
        <w:tc>
          <w:tcPr>
            <w:tcW w:w="2448" w:type="dxa"/>
          </w:tcPr>
          <w:p w14:paraId="6F060D7F" w14:textId="69385A03"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Average number of violations per inspection with violations by violation type (SWRU)</w:t>
            </w:r>
          </w:p>
        </w:tc>
        <w:tc>
          <w:tcPr>
            <w:tcW w:w="1310" w:type="dxa"/>
          </w:tcPr>
          <w:p w14:paraId="5640B786" w14:textId="498A1944"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1.89</w:t>
            </w:r>
          </w:p>
        </w:tc>
        <w:tc>
          <w:tcPr>
            <w:tcW w:w="1323" w:type="dxa"/>
          </w:tcPr>
          <w:p w14:paraId="51F82131"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+/- 20% of 1.74</w:t>
            </w:r>
          </w:p>
          <w:p w14:paraId="371E2653"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B24EFBC" w14:textId="7777777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235" w:type="dxa"/>
          </w:tcPr>
          <w:p w14:paraId="330DF263" w14:textId="14CA55C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 xml:space="preserve">The further review level is based on a three-year national average.  The range of acceptable data not requiring further review is from 1.39 to 2.08 for SWRU. </w:t>
            </w:r>
          </w:p>
        </w:tc>
      </w:tr>
      <w:tr w:rsidR="005F71A2" w:rsidRPr="001C1E47" w14:paraId="0C0C34AD"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7FD14581" w14:textId="6B7EFCA1"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5b</w:t>
            </w:r>
          </w:p>
        </w:tc>
        <w:tc>
          <w:tcPr>
            <w:tcW w:w="2448" w:type="dxa"/>
          </w:tcPr>
          <w:p w14:paraId="1A64659E" w14:textId="20DF853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Average number of violations per inspection with violations by violation type (other)</w:t>
            </w:r>
          </w:p>
        </w:tc>
        <w:tc>
          <w:tcPr>
            <w:tcW w:w="1310" w:type="dxa"/>
          </w:tcPr>
          <w:p w14:paraId="189B2CB4" w14:textId="006356E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1.07</w:t>
            </w:r>
          </w:p>
        </w:tc>
        <w:tc>
          <w:tcPr>
            <w:tcW w:w="1323" w:type="dxa"/>
          </w:tcPr>
          <w:p w14:paraId="7E099A7B"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+/- 20% of 0.94</w:t>
            </w:r>
          </w:p>
          <w:p w14:paraId="10600A9C" w14:textId="0FDB4BA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235" w:type="dxa"/>
          </w:tcPr>
          <w:p w14:paraId="4F83BD91" w14:textId="1043FA6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The further review level is based on a three-year national average.  The range of acceptable data not requiring further review is from 0.75 to 1.12 for OTS.</w:t>
            </w:r>
          </w:p>
        </w:tc>
      </w:tr>
      <w:tr w:rsidR="005F71A2" w:rsidRPr="001C1E47" w14:paraId="73051CF9"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4B4D91E3" w14:textId="7FBFF0C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6</w:t>
            </w:r>
          </w:p>
        </w:tc>
        <w:tc>
          <w:tcPr>
            <w:tcW w:w="2448" w:type="dxa"/>
          </w:tcPr>
          <w:p w14:paraId="79E27E6A" w14:textId="5B5DB6F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Percent of total inspections in state and local government workplaces</w:t>
            </w:r>
          </w:p>
        </w:tc>
        <w:tc>
          <w:tcPr>
            <w:tcW w:w="1310" w:type="dxa"/>
          </w:tcPr>
          <w:p w14:paraId="01189742" w14:textId="19FA01ED"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6.81%</w:t>
            </w:r>
          </w:p>
        </w:tc>
        <w:tc>
          <w:tcPr>
            <w:tcW w:w="1323" w:type="dxa"/>
          </w:tcPr>
          <w:p w14:paraId="5D56C05D"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+/- 5% of</w:t>
            </w:r>
          </w:p>
          <w:p w14:paraId="7678C0FD" w14:textId="641E8F04"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Grant 5.00%</w:t>
            </w:r>
          </w:p>
        </w:tc>
        <w:tc>
          <w:tcPr>
            <w:tcW w:w="4235" w:type="dxa"/>
          </w:tcPr>
          <w:p w14:paraId="11909732" w14:textId="4F9783A0"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4.75% to 5.25%.</w:t>
            </w:r>
          </w:p>
        </w:tc>
      </w:tr>
      <w:tr w:rsidR="005F71A2" w:rsidRPr="001C1E47" w14:paraId="47E35DEE"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2635650F" w14:textId="07DE9CE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7a</w:t>
            </w:r>
          </w:p>
        </w:tc>
        <w:tc>
          <w:tcPr>
            <w:tcW w:w="2448" w:type="dxa"/>
          </w:tcPr>
          <w:p w14:paraId="6972B9CD" w14:textId="60969AF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Planned v. actual inspections (safety)</w:t>
            </w:r>
          </w:p>
        </w:tc>
        <w:tc>
          <w:tcPr>
            <w:tcW w:w="1310" w:type="dxa"/>
          </w:tcPr>
          <w:p w14:paraId="714EE701" w14:textId="6CC739B3"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1,064</w:t>
            </w:r>
          </w:p>
        </w:tc>
        <w:tc>
          <w:tcPr>
            <w:tcW w:w="1323" w:type="dxa"/>
          </w:tcPr>
          <w:p w14:paraId="65859B02"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xml:space="preserve">+/- 5% of </w:t>
            </w:r>
          </w:p>
          <w:p w14:paraId="70DE1282" w14:textId="51988261"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Grant 1,030</w:t>
            </w:r>
          </w:p>
        </w:tc>
        <w:tc>
          <w:tcPr>
            <w:tcW w:w="4235" w:type="dxa"/>
          </w:tcPr>
          <w:p w14:paraId="127905E2" w14:textId="2A8CA40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based on a number negotiated by OSHA and the State Plan through the grant application.  The range of acceptable data not requiring further review is from 979 to 1,050 for safety.</w:t>
            </w:r>
          </w:p>
        </w:tc>
      </w:tr>
      <w:tr w:rsidR="005F71A2" w:rsidRPr="001C1E47" w14:paraId="41D7E5AF"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78976174" w14:textId="15297D2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bookmarkStart w:id="39" w:name="_Hlk188603617"/>
            <w:r w:rsidRPr="0066399C">
              <w:rPr>
                <w:rFonts w:eastAsia="PMingLiU" w:cs="Calibri"/>
              </w:rPr>
              <w:t>7b</w:t>
            </w:r>
          </w:p>
        </w:tc>
        <w:tc>
          <w:tcPr>
            <w:tcW w:w="2448" w:type="dxa"/>
          </w:tcPr>
          <w:p w14:paraId="628291DB" w14:textId="5A736D8F"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Planned v. actual inspections (health)</w:t>
            </w:r>
          </w:p>
        </w:tc>
        <w:tc>
          <w:tcPr>
            <w:tcW w:w="1310" w:type="dxa"/>
          </w:tcPr>
          <w:p w14:paraId="46225BFE" w14:textId="1D33EC3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611</w:t>
            </w:r>
          </w:p>
        </w:tc>
        <w:tc>
          <w:tcPr>
            <w:tcW w:w="1323" w:type="dxa"/>
          </w:tcPr>
          <w:p w14:paraId="478DC094"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xml:space="preserve">+/- 5% of </w:t>
            </w:r>
          </w:p>
          <w:p w14:paraId="615D1DB6" w14:textId="2421C49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Grant 670</w:t>
            </w:r>
          </w:p>
        </w:tc>
        <w:tc>
          <w:tcPr>
            <w:tcW w:w="4235" w:type="dxa"/>
          </w:tcPr>
          <w:p w14:paraId="4C49AF53" w14:textId="5D5C28F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based on a number negotiated by OSHA and the State Plan through the grant application.  The range of acceptable data not requiring further review is from 637 to 704 for health.</w:t>
            </w:r>
          </w:p>
        </w:tc>
      </w:tr>
      <w:bookmarkEnd w:id="39"/>
      <w:tr w:rsidR="005F71A2" w:rsidRPr="001C1E47" w14:paraId="19A930B8"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12933EF2" w14:textId="76F5FA7A"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8</w:t>
            </w:r>
          </w:p>
        </w:tc>
        <w:tc>
          <w:tcPr>
            <w:tcW w:w="2448" w:type="dxa"/>
          </w:tcPr>
          <w:p w14:paraId="35E2919F" w14:textId="2196705B"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Average current serious penalty in private sector - total (1 to greater than 250 workers)</w:t>
            </w:r>
          </w:p>
        </w:tc>
        <w:tc>
          <w:tcPr>
            <w:tcW w:w="1310" w:type="dxa"/>
          </w:tcPr>
          <w:p w14:paraId="4FF95415" w14:textId="5FA000C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$3,543.92</w:t>
            </w:r>
          </w:p>
        </w:tc>
        <w:tc>
          <w:tcPr>
            <w:tcW w:w="1323" w:type="dxa"/>
          </w:tcPr>
          <w:p w14:paraId="184A80C0"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xml:space="preserve">+/- 25% of </w:t>
            </w:r>
          </w:p>
          <w:p w14:paraId="7D3A10E6"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66399C">
              <w:rPr>
                <w:rFonts w:asciiTheme="minorHAnsi" w:eastAsia="PMingLiU" w:hAnsiTheme="minorHAnsi" w:cstheme="minorHAnsi"/>
              </w:rPr>
              <w:t>$3,793.81</w:t>
            </w:r>
          </w:p>
          <w:p w14:paraId="7AD30EF7" w14:textId="7777777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235" w:type="dxa"/>
          </w:tcPr>
          <w:p w14:paraId="0DF20B53" w14:textId="303D9093" w:rsidR="005F71A2" w:rsidRPr="00C616F5" w:rsidRDefault="005F71A2" w:rsidP="005F71A2">
            <w:pPr>
              <w:cnfStyle w:val="000000000000" w:firstRow="0" w:lastRow="0" w:firstColumn="0" w:lastColumn="0" w:oddVBand="0" w:evenVBand="0" w:oddHBand="0" w:evenHBand="0" w:firstRowFirstColumn="0" w:firstRowLastColumn="0" w:lastRowFirstColumn="0" w:lastRowLastColumn="0"/>
            </w:pPr>
            <w:r w:rsidRPr="0066399C">
              <w:rPr>
                <w:rFonts w:asciiTheme="minorHAnsi" w:hAnsiTheme="minorHAnsi" w:cstheme="minorHAnsi"/>
              </w:rPr>
              <w:t>The further review level is based on a three-year national average.  The range of acceptable data not requiring further review is from $2,845.36 to $4,742.27.</w:t>
            </w:r>
          </w:p>
        </w:tc>
      </w:tr>
      <w:tr w:rsidR="005F71A2" w:rsidRPr="001C1E47" w14:paraId="4CF9D609"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0ABEB3DA" w14:textId="6F45C96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66399C">
              <w:rPr>
                <w:rFonts w:eastAsia="PMingLiU" w:cs="Calibri"/>
              </w:rPr>
              <w:t>8a</w:t>
            </w:r>
          </w:p>
        </w:tc>
        <w:tc>
          <w:tcPr>
            <w:tcW w:w="2448" w:type="dxa"/>
          </w:tcPr>
          <w:p w14:paraId="2EFC5E75"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Average current serious penalty in private sector</w:t>
            </w:r>
          </w:p>
          <w:p w14:paraId="7C4696DD" w14:textId="22C07EA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 xml:space="preserve"> (1-25 workers)</w:t>
            </w:r>
          </w:p>
        </w:tc>
        <w:tc>
          <w:tcPr>
            <w:tcW w:w="1310" w:type="dxa"/>
          </w:tcPr>
          <w:p w14:paraId="3B168483" w14:textId="23D53613"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$1,898.00</w:t>
            </w:r>
          </w:p>
        </w:tc>
        <w:tc>
          <w:tcPr>
            <w:tcW w:w="1323" w:type="dxa"/>
          </w:tcPr>
          <w:p w14:paraId="45883B29"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xml:space="preserve">+/- 25% of </w:t>
            </w:r>
          </w:p>
          <w:p w14:paraId="16527FF2"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$2,498.51</w:t>
            </w:r>
          </w:p>
          <w:p w14:paraId="4DC91B0C" w14:textId="7777777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235" w:type="dxa"/>
          </w:tcPr>
          <w:p w14:paraId="371F75E0" w14:textId="6FAB04E9"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based on a three-year national average.  The range of acceptable data not requiring further review is from $1,873.88 to $3,123.14.</w:t>
            </w:r>
          </w:p>
        </w:tc>
      </w:tr>
      <w:tr w:rsidR="005F71A2" w:rsidRPr="001C1E47" w14:paraId="2F293093"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2794F1EF" w14:textId="03F2F7ED"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66399C">
              <w:rPr>
                <w:rFonts w:eastAsia="PMingLiU" w:cs="Calibri"/>
              </w:rPr>
              <w:t>8b</w:t>
            </w:r>
          </w:p>
        </w:tc>
        <w:tc>
          <w:tcPr>
            <w:tcW w:w="2448" w:type="dxa"/>
          </w:tcPr>
          <w:p w14:paraId="68AD4F07"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xml:space="preserve">Average current serious penalty in private sector </w:t>
            </w:r>
          </w:p>
          <w:p w14:paraId="0CB214A9" w14:textId="5BBDA658"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(26-100 workers</w:t>
            </w:r>
            <w:r w:rsidRPr="0066399C">
              <w:rPr>
                <w:rFonts w:asciiTheme="minorHAnsi" w:hAnsiTheme="minorHAnsi" w:cstheme="minorHAnsi"/>
                <w:b/>
              </w:rPr>
              <w:t>)</w:t>
            </w:r>
          </w:p>
        </w:tc>
        <w:tc>
          <w:tcPr>
            <w:tcW w:w="1310" w:type="dxa"/>
          </w:tcPr>
          <w:p w14:paraId="26CF4361" w14:textId="37A2E3E8"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$3,553.57</w:t>
            </w:r>
          </w:p>
        </w:tc>
        <w:tc>
          <w:tcPr>
            <w:tcW w:w="1323" w:type="dxa"/>
          </w:tcPr>
          <w:p w14:paraId="7F0DFD97"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xml:space="preserve">+/- 25% of </w:t>
            </w:r>
          </w:p>
          <w:p w14:paraId="56C6808A"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$4,322.61</w:t>
            </w:r>
          </w:p>
          <w:p w14:paraId="6AB595C0" w14:textId="7777777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235" w:type="dxa"/>
          </w:tcPr>
          <w:p w14:paraId="533EE6CD" w14:textId="22E67D8A"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based on a three-year national average.  The range of acceptable data not requiring further review is from $3,241.96 to $5,403.26.</w:t>
            </w:r>
          </w:p>
        </w:tc>
      </w:tr>
      <w:tr w:rsidR="005F71A2" w:rsidRPr="001C1E47" w14:paraId="786F3F1A"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5A3932AB" w14:textId="418C361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66399C">
              <w:rPr>
                <w:rFonts w:eastAsia="PMingLiU" w:cs="Calibri"/>
              </w:rPr>
              <w:t>8c</w:t>
            </w:r>
          </w:p>
        </w:tc>
        <w:tc>
          <w:tcPr>
            <w:tcW w:w="2448" w:type="dxa"/>
          </w:tcPr>
          <w:p w14:paraId="13E26019"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Average current serious penalty in private sector</w:t>
            </w:r>
          </w:p>
          <w:p w14:paraId="10D9592B" w14:textId="6E8D5866"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(101-250 workers)</w:t>
            </w:r>
          </w:p>
        </w:tc>
        <w:tc>
          <w:tcPr>
            <w:tcW w:w="1310" w:type="dxa"/>
          </w:tcPr>
          <w:p w14:paraId="7D3E6F14" w14:textId="75E3359F"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$5,339.95</w:t>
            </w:r>
          </w:p>
        </w:tc>
        <w:tc>
          <w:tcPr>
            <w:tcW w:w="1323" w:type="dxa"/>
          </w:tcPr>
          <w:p w14:paraId="288D0036"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xml:space="preserve">+/- 25% of </w:t>
            </w:r>
          </w:p>
          <w:p w14:paraId="444DDD60"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$6,114.84</w:t>
            </w:r>
          </w:p>
          <w:p w14:paraId="0194F828" w14:textId="7777777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235" w:type="dxa"/>
          </w:tcPr>
          <w:p w14:paraId="4B00CAC2" w14:textId="7FDEA809"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based on a three-year national average.  The range of acceptable data not requiring further review is from $4,586.13 to $7,643.55.</w:t>
            </w:r>
          </w:p>
        </w:tc>
      </w:tr>
      <w:tr w:rsidR="005F71A2" w:rsidRPr="001C1E47" w14:paraId="44B346AD"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5ED4D0D0" w14:textId="30DDEB46"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66399C">
              <w:rPr>
                <w:rFonts w:eastAsia="PMingLiU" w:cs="Calibri"/>
              </w:rPr>
              <w:t>8d</w:t>
            </w:r>
          </w:p>
        </w:tc>
        <w:tc>
          <w:tcPr>
            <w:tcW w:w="2448" w:type="dxa"/>
          </w:tcPr>
          <w:p w14:paraId="71413D5E"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Average current serious penalty in private sector</w:t>
            </w:r>
          </w:p>
          <w:p w14:paraId="48DDBB4B" w14:textId="6EDC372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(greater than 250 workers)</w:t>
            </w:r>
          </w:p>
        </w:tc>
        <w:tc>
          <w:tcPr>
            <w:tcW w:w="1310" w:type="dxa"/>
          </w:tcPr>
          <w:p w14:paraId="7D66FCF1" w14:textId="0DB86646"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$10,606.20</w:t>
            </w:r>
          </w:p>
        </w:tc>
        <w:tc>
          <w:tcPr>
            <w:tcW w:w="1323" w:type="dxa"/>
          </w:tcPr>
          <w:p w14:paraId="763855E8"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xml:space="preserve">+/- 25% of </w:t>
            </w:r>
          </w:p>
          <w:p w14:paraId="6A44943F"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$7,533.58</w:t>
            </w:r>
          </w:p>
          <w:p w14:paraId="3FB5515E" w14:textId="7777777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235" w:type="dxa"/>
          </w:tcPr>
          <w:p w14:paraId="29FF5D83" w14:textId="442AC440"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based on a three-year national average.  The range of acceptable data not requiring further review is from $5,650.19 to $9,416.98.</w:t>
            </w:r>
          </w:p>
        </w:tc>
      </w:tr>
      <w:tr w:rsidR="005F71A2" w:rsidRPr="001C1E47" w14:paraId="6F99001F"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2CAB3DC1" w14:textId="1D3F1E4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9a</w:t>
            </w:r>
          </w:p>
        </w:tc>
        <w:tc>
          <w:tcPr>
            <w:tcW w:w="2448" w:type="dxa"/>
          </w:tcPr>
          <w:p w14:paraId="406CE5F6" w14:textId="502990B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Percent in compliance (safety)</w:t>
            </w:r>
          </w:p>
        </w:tc>
        <w:tc>
          <w:tcPr>
            <w:tcW w:w="1310" w:type="dxa"/>
          </w:tcPr>
          <w:p w14:paraId="2CBEE7D5" w14:textId="228CAED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40.26%</w:t>
            </w:r>
          </w:p>
        </w:tc>
        <w:tc>
          <w:tcPr>
            <w:tcW w:w="1323" w:type="dxa"/>
          </w:tcPr>
          <w:p w14:paraId="6D39B3C2"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+/- 20% of</w:t>
            </w:r>
          </w:p>
          <w:p w14:paraId="0A52EE0A" w14:textId="59B1FC4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32.83%</w:t>
            </w:r>
          </w:p>
        </w:tc>
        <w:tc>
          <w:tcPr>
            <w:tcW w:w="4235" w:type="dxa"/>
          </w:tcPr>
          <w:p w14:paraId="2A829BA0" w14:textId="72A2E738"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based on a three-year national average.  The range of acceptable data not requiring further review is from 26.27% to 39.40% for safety.</w:t>
            </w:r>
          </w:p>
        </w:tc>
      </w:tr>
      <w:tr w:rsidR="005F71A2" w:rsidRPr="001C1E47" w14:paraId="3EB76E55"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5BA68B8A" w14:textId="3CD2CF6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9b</w:t>
            </w:r>
          </w:p>
        </w:tc>
        <w:tc>
          <w:tcPr>
            <w:tcW w:w="2448" w:type="dxa"/>
          </w:tcPr>
          <w:p w14:paraId="1F4404BA" w14:textId="61643A5B"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Percent in compliance (health)</w:t>
            </w:r>
          </w:p>
        </w:tc>
        <w:tc>
          <w:tcPr>
            <w:tcW w:w="1310" w:type="dxa"/>
          </w:tcPr>
          <w:p w14:paraId="0F761403" w14:textId="22F2AE9A"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33.80%</w:t>
            </w:r>
          </w:p>
        </w:tc>
        <w:tc>
          <w:tcPr>
            <w:tcW w:w="1323" w:type="dxa"/>
          </w:tcPr>
          <w:p w14:paraId="37168255"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+/- 20% of</w:t>
            </w:r>
          </w:p>
          <w:p w14:paraId="203D8062" w14:textId="7592D536"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44.18%</w:t>
            </w:r>
          </w:p>
        </w:tc>
        <w:tc>
          <w:tcPr>
            <w:tcW w:w="4235" w:type="dxa"/>
          </w:tcPr>
          <w:p w14:paraId="7272F1E9" w14:textId="33FB16EF"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based on a three-year national average.  The range of acceptable data not requiring further review is from 35.34% to 53.01% for health.</w:t>
            </w:r>
          </w:p>
        </w:tc>
      </w:tr>
      <w:tr w:rsidR="005F71A2" w:rsidRPr="001C1E47" w14:paraId="6BD622B6"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1E1081EE" w14:textId="4C6A0AD6"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10</w:t>
            </w:r>
          </w:p>
        </w:tc>
        <w:tc>
          <w:tcPr>
            <w:tcW w:w="2448" w:type="dxa"/>
          </w:tcPr>
          <w:p w14:paraId="7A555323" w14:textId="6675A238"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Percent of work-related fatalities responded to in one workday</w:t>
            </w:r>
          </w:p>
        </w:tc>
        <w:tc>
          <w:tcPr>
            <w:tcW w:w="1310" w:type="dxa"/>
          </w:tcPr>
          <w:p w14:paraId="36635117" w14:textId="4362A45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100%</w:t>
            </w:r>
          </w:p>
        </w:tc>
        <w:tc>
          <w:tcPr>
            <w:tcW w:w="1323" w:type="dxa"/>
          </w:tcPr>
          <w:p w14:paraId="1B2A9E13" w14:textId="47FC364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100%</w:t>
            </w:r>
          </w:p>
        </w:tc>
        <w:tc>
          <w:tcPr>
            <w:tcW w:w="4235" w:type="dxa"/>
          </w:tcPr>
          <w:p w14:paraId="4CFEF3A7" w14:textId="667B0DA2" w:rsidR="005F71A2" w:rsidRPr="00C616F5" w:rsidRDefault="005F71A2" w:rsidP="005F71A2">
            <w:pPr>
              <w:cnfStyle w:val="000000000000" w:firstRow="0" w:lastRow="0" w:firstColumn="0" w:lastColumn="0" w:oddVBand="0" w:evenVBand="0" w:oddHBand="0" w:evenHBand="0" w:firstRowFirstColumn="0" w:firstRowLastColumn="0" w:lastRowFirstColumn="0" w:lastRowLastColumn="0"/>
              <w:rPr>
                <w:rFonts w:eastAsia="PMingLiU"/>
              </w:rPr>
            </w:pPr>
            <w:r w:rsidRPr="0066399C">
              <w:rPr>
                <w:rFonts w:asciiTheme="minorHAnsi" w:hAnsiTheme="minorHAnsi" w:cstheme="minorHAnsi"/>
              </w:rPr>
              <w:t>The further review level is fixed for all State Plans.</w:t>
            </w:r>
          </w:p>
        </w:tc>
      </w:tr>
      <w:tr w:rsidR="005F71A2" w:rsidRPr="001C1E47" w14:paraId="2893D3CE"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10FE802E" w14:textId="7ED0737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11a</w:t>
            </w:r>
          </w:p>
        </w:tc>
        <w:tc>
          <w:tcPr>
            <w:tcW w:w="2448" w:type="dxa"/>
          </w:tcPr>
          <w:p w14:paraId="0E881318" w14:textId="73BE7C26"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Average lapse time (safety)</w:t>
            </w:r>
          </w:p>
        </w:tc>
        <w:tc>
          <w:tcPr>
            <w:tcW w:w="1310" w:type="dxa"/>
          </w:tcPr>
          <w:p w14:paraId="155143E8" w14:textId="3CDDCA5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55.07</w:t>
            </w:r>
          </w:p>
        </w:tc>
        <w:tc>
          <w:tcPr>
            <w:tcW w:w="1323" w:type="dxa"/>
          </w:tcPr>
          <w:p w14:paraId="23A9592F"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+/- 20% of 56.02</w:t>
            </w:r>
          </w:p>
          <w:p w14:paraId="4105E6C0" w14:textId="271B7933"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235" w:type="dxa"/>
          </w:tcPr>
          <w:p w14:paraId="1A7228CC" w14:textId="4E786B05" w:rsidR="005F71A2" w:rsidRPr="00C616F5" w:rsidRDefault="005F71A2" w:rsidP="005F71A2">
            <w:pPr>
              <w:cnfStyle w:val="000000000000" w:firstRow="0" w:lastRow="0" w:firstColumn="0" w:lastColumn="0" w:oddVBand="0" w:evenVBand="0" w:oddHBand="0" w:evenHBand="0" w:firstRowFirstColumn="0" w:firstRowLastColumn="0" w:lastRowFirstColumn="0" w:lastRowLastColumn="0"/>
              <w:rPr>
                <w:rFonts w:eastAsia="PMingLiU"/>
              </w:rPr>
            </w:pPr>
            <w:r w:rsidRPr="0066399C">
              <w:rPr>
                <w:rFonts w:asciiTheme="minorHAnsi" w:hAnsiTheme="minorHAnsi" w:cstheme="minorHAnsi"/>
              </w:rPr>
              <w:t>The further review level is based on a three-year national average.  The range of acceptable data not requiring further review is from 44.82 to 67.23for safety.</w:t>
            </w:r>
          </w:p>
        </w:tc>
      </w:tr>
      <w:tr w:rsidR="005F71A2" w:rsidRPr="001C1E47" w14:paraId="71994532"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4A315A6E" w14:textId="4FFDCCA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11b</w:t>
            </w:r>
          </w:p>
        </w:tc>
        <w:tc>
          <w:tcPr>
            <w:tcW w:w="2448" w:type="dxa"/>
          </w:tcPr>
          <w:p w14:paraId="62670A92" w14:textId="163588A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Average lapse time (health)</w:t>
            </w:r>
          </w:p>
        </w:tc>
        <w:tc>
          <w:tcPr>
            <w:tcW w:w="1310" w:type="dxa"/>
          </w:tcPr>
          <w:p w14:paraId="260D705D" w14:textId="02CC4956"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58.44</w:t>
            </w:r>
          </w:p>
        </w:tc>
        <w:tc>
          <w:tcPr>
            <w:tcW w:w="1323" w:type="dxa"/>
          </w:tcPr>
          <w:p w14:paraId="72261A37"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+/- 20% of 67.21</w:t>
            </w:r>
          </w:p>
          <w:p w14:paraId="4447221B" w14:textId="6B9E36F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235" w:type="dxa"/>
          </w:tcPr>
          <w:p w14:paraId="77F448C9" w14:textId="40FEF99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based on a three-year national average.  The range of acceptable data not requiring further review is from 53.77 to 80.65 for health.</w:t>
            </w:r>
          </w:p>
        </w:tc>
      </w:tr>
      <w:tr w:rsidR="005F71A2" w:rsidRPr="001C1E47" w14:paraId="13BCA211"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20008ADF" w14:textId="61BE8AD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12</w:t>
            </w:r>
          </w:p>
        </w:tc>
        <w:tc>
          <w:tcPr>
            <w:tcW w:w="2448" w:type="dxa"/>
          </w:tcPr>
          <w:p w14:paraId="4FDC62A7" w14:textId="2A8D57C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Percent penalty retained</w:t>
            </w:r>
          </w:p>
        </w:tc>
        <w:tc>
          <w:tcPr>
            <w:tcW w:w="1310" w:type="dxa"/>
          </w:tcPr>
          <w:p w14:paraId="54C1921C" w14:textId="7812AEC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84.44%</w:t>
            </w:r>
          </w:p>
        </w:tc>
        <w:tc>
          <w:tcPr>
            <w:tcW w:w="1323" w:type="dxa"/>
          </w:tcPr>
          <w:p w14:paraId="1795D711"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+/- 15% of</w:t>
            </w:r>
          </w:p>
          <w:p w14:paraId="5AD20280" w14:textId="6A6864D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70.81%</w:t>
            </w:r>
          </w:p>
        </w:tc>
        <w:tc>
          <w:tcPr>
            <w:tcW w:w="4235" w:type="dxa"/>
          </w:tcPr>
          <w:p w14:paraId="45B6E003" w14:textId="67B2461F"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based on a three-year national average.  The range of acceptable data not requiring further review is from 60.19% to 81.44%.</w:t>
            </w:r>
          </w:p>
        </w:tc>
      </w:tr>
      <w:tr w:rsidR="005F71A2" w:rsidRPr="001C1E47" w14:paraId="2EAC34D6"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46A22AE3" w14:textId="51D1EC38"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13</w:t>
            </w:r>
          </w:p>
        </w:tc>
        <w:tc>
          <w:tcPr>
            <w:tcW w:w="2448" w:type="dxa"/>
          </w:tcPr>
          <w:p w14:paraId="56540F98" w14:textId="6974A78F"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Percent of initial inspections with worker walk-around representation or worker interview</w:t>
            </w:r>
          </w:p>
        </w:tc>
        <w:tc>
          <w:tcPr>
            <w:tcW w:w="1310" w:type="dxa"/>
          </w:tcPr>
          <w:p w14:paraId="71E71ED8" w14:textId="1494A3D4"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100%</w:t>
            </w:r>
          </w:p>
        </w:tc>
        <w:tc>
          <w:tcPr>
            <w:tcW w:w="1323" w:type="dxa"/>
          </w:tcPr>
          <w:p w14:paraId="4A97427F" w14:textId="1A389760"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100%</w:t>
            </w:r>
          </w:p>
        </w:tc>
        <w:tc>
          <w:tcPr>
            <w:tcW w:w="4235" w:type="dxa"/>
          </w:tcPr>
          <w:p w14:paraId="27DEF00F" w14:textId="7F7822DD"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The further review level is fixed for all State Plans.</w:t>
            </w:r>
          </w:p>
        </w:tc>
      </w:tr>
      <w:tr w:rsidR="005F71A2" w:rsidRPr="001C1E47" w14:paraId="0083664F"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1F73B0DD" w14:textId="790316AB"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14</w:t>
            </w:r>
          </w:p>
        </w:tc>
        <w:tc>
          <w:tcPr>
            <w:tcW w:w="2448" w:type="dxa"/>
          </w:tcPr>
          <w:p w14:paraId="3454CDD3" w14:textId="6957BECA"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Percent of 11(c) investigations completed within 90 days</w:t>
            </w:r>
          </w:p>
        </w:tc>
        <w:tc>
          <w:tcPr>
            <w:tcW w:w="1310" w:type="dxa"/>
          </w:tcPr>
          <w:p w14:paraId="3468F2B1" w14:textId="23AE3D6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N/A*</w:t>
            </w:r>
          </w:p>
        </w:tc>
        <w:tc>
          <w:tcPr>
            <w:tcW w:w="1323" w:type="dxa"/>
          </w:tcPr>
          <w:p w14:paraId="39333E60" w14:textId="4C10B8F0"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N/A*</w:t>
            </w:r>
          </w:p>
        </w:tc>
        <w:tc>
          <w:tcPr>
            <w:tcW w:w="4235" w:type="dxa"/>
          </w:tcPr>
          <w:p w14:paraId="7DECCD0D" w14:textId="171B1CF0"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52CF5">
              <w:rPr>
                <w:rFonts w:asciiTheme="minorHAnsi" w:eastAsia="PMingLiU" w:hAnsiTheme="minorHAnsi" w:cstheme="minorHAnsi"/>
              </w:rPr>
              <w:t>This measure is not being reported for FY 2024 due to the transition to the new SAMM measures starting in FY 2025.</w:t>
            </w:r>
          </w:p>
        </w:tc>
      </w:tr>
      <w:tr w:rsidR="005F71A2" w:rsidRPr="001C1E47" w14:paraId="570F3912"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4BF89E78" w14:textId="421EBCC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15</w:t>
            </w:r>
          </w:p>
        </w:tc>
        <w:tc>
          <w:tcPr>
            <w:tcW w:w="2448" w:type="dxa"/>
          </w:tcPr>
          <w:p w14:paraId="1BE43D29" w14:textId="0E2FF0C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Percent of 11(c) complaints that are meritorious</w:t>
            </w:r>
          </w:p>
        </w:tc>
        <w:tc>
          <w:tcPr>
            <w:tcW w:w="1310" w:type="dxa"/>
          </w:tcPr>
          <w:p w14:paraId="1E0B0B7D" w14:textId="7BD62537"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N/A*</w:t>
            </w:r>
          </w:p>
        </w:tc>
        <w:tc>
          <w:tcPr>
            <w:tcW w:w="1323" w:type="dxa"/>
          </w:tcPr>
          <w:p w14:paraId="147E9AB5" w14:textId="084571E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N/A*</w:t>
            </w:r>
          </w:p>
        </w:tc>
        <w:tc>
          <w:tcPr>
            <w:tcW w:w="4235" w:type="dxa"/>
          </w:tcPr>
          <w:p w14:paraId="5801C5D4" w14:textId="0721C62B"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52CF5">
              <w:rPr>
                <w:rFonts w:asciiTheme="minorHAnsi" w:eastAsia="PMingLiU" w:hAnsiTheme="minorHAnsi" w:cstheme="minorHAnsi"/>
              </w:rPr>
              <w:t>This measure is not being reported for FY 2024 due to the transition to the new SAMM measures starting in FY 2025.</w:t>
            </w:r>
          </w:p>
        </w:tc>
      </w:tr>
      <w:tr w:rsidR="005F71A2" w:rsidRPr="001C1E47" w14:paraId="06EFF7B6"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7E0D4652" w14:textId="0BDC304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16</w:t>
            </w:r>
          </w:p>
        </w:tc>
        <w:tc>
          <w:tcPr>
            <w:tcW w:w="2448" w:type="dxa"/>
          </w:tcPr>
          <w:p w14:paraId="5E4FAF60" w14:textId="7AAA4ED8"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Average number of calendar days to complete an 11(c) investigation</w:t>
            </w:r>
          </w:p>
        </w:tc>
        <w:tc>
          <w:tcPr>
            <w:tcW w:w="1310" w:type="dxa"/>
          </w:tcPr>
          <w:p w14:paraId="3207CBD2" w14:textId="75A927CB"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eastAsia="PMingLiU" w:hAnsiTheme="minorHAnsi" w:cstheme="minorHAnsi"/>
              </w:rPr>
              <w:t>N/A*</w:t>
            </w:r>
          </w:p>
        </w:tc>
        <w:tc>
          <w:tcPr>
            <w:tcW w:w="1323" w:type="dxa"/>
            <w:shd w:val="clear" w:color="auto" w:fill="auto"/>
          </w:tcPr>
          <w:p w14:paraId="7022F7E0" w14:textId="4998ECD5"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N/A*</w:t>
            </w:r>
          </w:p>
        </w:tc>
        <w:tc>
          <w:tcPr>
            <w:tcW w:w="4235" w:type="dxa"/>
          </w:tcPr>
          <w:p w14:paraId="088C3C3F" w14:textId="642044CA"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52CF5">
              <w:rPr>
                <w:rFonts w:asciiTheme="minorHAnsi" w:eastAsia="PMingLiU" w:hAnsiTheme="minorHAnsi" w:cstheme="minorHAnsi"/>
              </w:rPr>
              <w:t>This measure is not being reported for FY 2024 due to the transition to the new SAMM measures starting in FY 2025.</w:t>
            </w:r>
          </w:p>
        </w:tc>
      </w:tr>
      <w:tr w:rsidR="005F71A2" w:rsidRPr="001C1E47" w14:paraId="464BCA80" w14:textId="77777777" w:rsidTr="005F71A2">
        <w:tc>
          <w:tcPr>
            <w:cnfStyle w:val="001000000000" w:firstRow="0" w:lastRow="0" w:firstColumn="1" w:lastColumn="0" w:oddVBand="0" w:evenVBand="0" w:oddHBand="0" w:evenHBand="0" w:firstRowFirstColumn="0" w:firstRowLastColumn="0" w:lastRowFirstColumn="0" w:lastRowLastColumn="0"/>
            <w:tcW w:w="1034" w:type="dxa"/>
          </w:tcPr>
          <w:p w14:paraId="3EFEA4C9" w14:textId="0CDFF800"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66399C">
              <w:rPr>
                <w:rFonts w:eastAsia="PMingLiU" w:cs="Calibri"/>
              </w:rPr>
              <w:t>17</w:t>
            </w:r>
          </w:p>
        </w:tc>
        <w:tc>
          <w:tcPr>
            <w:tcW w:w="2448" w:type="dxa"/>
          </w:tcPr>
          <w:p w14:paraId="4A04782E" w14:textId="5253758E"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66399C">
              <w:rPr>
                <w:rFonts w:asciiTheme="minorHAnsi" w:hAnsiTheme="minorHAnsi" w:cstheme="minorHAnsi"/>
              </w:rPr>
              <w:t>Percent of enforcement presence</w:t>
            </w:r>
          </w:p>
        </w:tc>
        <w:tc>
          <w:tcPr>
            <w:tcW w:w="1310" w:type="dxa"/>
          </w:tcPr>
          <w:p w14:paraId="2883494A" w14:textId="16815C8B"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0.76</w:t>
            </w:r>
            <w:r w:rsidRPr="0066399C">
              <w:rPr>
                <w:rFonts w:asciiTheme="minorHAnsi" w:hAnsiTheme="minorHAnsi" w:cstheme="minorHAnsi"/>
              </w:rPr>
              <w:t>%</w:t>
            </w:r>
          </w:p>
        </w:tc>
        <w:tc>
          <w:tcPr>
            <w:tcW w:w="1323" w:type="dxa"/>
          </w:tcPr>
          <w:p w14:paraId="43AA8951" w14:textId="77777777" w:rsidR="005F71A2" w:rsidRPr="0066399C" w:rsidRDefault="005F71A2" w:rsidP="005F71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399C">
              <w:rPr>
                <w:rFonts w:asciiTheme="minorHAnsi" w:hAnsiTheme="minorHAnsi" w:cstheme="minorHAnsi"/>
              </w:rPr>
              <w:t>+/- 25% of</w:t>
            </w:r>
          </w:p>
          <w:p w14:paraId="315D63EF" w14:textId="0062B17C"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1.00%</w:t>
            </w:r>
          </w:p>
        </w:tc>
        <w:tc>
          <w:tcPr>
            <w:tcW w:w="4235" w:type="dxa"/>
          </w:tcPr>
          <w:p w14:paraId="66CFA076" w14:textId="53EAA0C2" w:rsidR="005F71A2" w:rsidRPr="001C1E47" w:rsidRDefault="005F71A2" w:rsidP="005F71A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66399C">
              <w:rPr>
                <w:rFonts w:asciiTheme="minorHAnsi" w:hAnsiTheme="minorHAnsi" w:cstheme="minorHAnsi"/>
              </w:rPr>
              <w:t xml:space="preserve">The further review level is based on a three-year national average.  The range of acceptable data not requiring further review is from </w:t>
            </w:r>
            <w:r>
              <w:rPr>
                <w:rFonts w:asciiTheme="minorHAnsi" w:hAnsiTheme="minorHAnsi" w:cstheme="minorHAnsi"/>
              </w:rPr>
              <w:t>0.75</w:t>
            </w:r>
            <w:r w:rsidRPr="0066399C">
              <w:rPr>
                <w:rFonts w:asciiTheme="minorHAnsi" w:hAnsiTheme="minorHAnsi" w:cstheme="minorHAnsi"/>
              </w:rPr>
              <w:t xml:space="preserve">% to </w:t>
            </w:r>
            <w:r>
              <w:rPr>
                <w:rFonts w:asciiTheme="minorHAnsi" w:hAnsiTheme="minorHAnsi" w:cstheme="minorHAnsi"/>
              </w:rPr>
              <w:t>1.25</w:t>
            </w:r>
            <w:r w:rsidRPr="0066399C">
              <w:rPr>
                <w:rFonts w:asciiTheme="minorHAnsi" w:hAnsiTheme="minorHAnsi" w:cstheme="minorHAnsi"/>
              </w:rPr>
              <w:t>%.</w:t>
            </w:r>
          </w:p>
        </w:tc>
      </w:tr>
      <w:bookmarkEnd w:id="38"/>
    </w:tbl>
    <w:p w14:paraId="723E33DA" w14:textId="77777777" w:rsidR="005128CD" w:rsidRPr="001C1E47" w:rsidRDefault="005128CD" w:rsidP="007A71AC">
      <w:pPr>
        <w:widowControl/>
        <w:autoSpaceDE/>
        <w:autoSpaceDN/>
        <w:adjustRightInd/>
        <w:rPr>
          <w:rFonts w:cs="Calibri"/>
          <w:b/>
          <w:color w:val="1F497D"/>
          <w:sz w:val="28"/>
          <w:szCs w:val="28"/>
        </w:rPr>
      </w:pPr>
    </w:p>
    <w:p w14:paraId="3291466A" w14:textId="77777777" w:rsidR="005F128A" w:rsidRPr="001C1E47" w:rsidRDefault="005F128A" w:rsidP="00F40413">
      <w:pPr>
        <w:widowControl/>
        <w:autoSpaceDE/>
        <w:autoSpaceDN/>
        <w:adjustRightInd/>
        <w:ind w:left="1080"/>
        <w:rPr>
          <w:rFonts w:cs="Calibri"/>
        </w:rPr>
      </w:pPr>
    </w:p>
    <w:p w14:paraId="0A470C61" w14:textId="77777777" w:rsidR="005128CD" w:rsidRPr="001C1E47" w:rsidRDefault="005128CD" w:rsidP="00634539">
      <w:pPr>
        <w:widowControl/>
        <w:autoSpaceDE/>
        <w:autoSpaceDN/>
        <w:adjustRightInd/>
        <w:rPr>
          <w:rFonts w:cs="Calibri"/>
        </w:rPr>
        <w:sectPr w:rsidR="005128CD" w:rsidRPr="001C1E47" w:rsidSect="00476C08">
          <w:headerReference w:type="default" r:id="rId14"/>
          <w:footerReference w:type="default" r:id="rId15"/>
          <w:pgSz w:w="12240" w:h="15840" w:code="1"/>
          <w:pgMar w:top="1440" w:right="1440" w:bottom="1440" w:left="1440" w:header="720" w:footer="720" w:gutter="0"/>
          <w:cols w:space="720"/>
          <w:noEndnote/>
          <w:docGrid w:linePitch="326"/>
        </w:sectPr>
      </w:pPr>
    </w:p>
    <w:p w14:paraId="52265BF8" w14:textId="77777777" w:rsidR="005F128A" w:rsidRPr="001C1E47" w:rsidRDefault="005F128A" w:rsidP="00634539">
      <w:pPr>
        <w:widowControl/>
        <w:autoSpaceDE/>
        <w:autoSpaceDN/>
        <w:adjustRightInd/>
        <w:rPr>
          <w:rFonts w:cs="Calibri"/>
        </w:rPr>
      </w:pPr>
    </w:p>
    <w:p w14:paraId="24A311E3" w14:textId="77777777" w:rsidR="005F128A" w:rsidRPr="001C1E47" w:rsidRDefault="005F128A" w:rsidP="00F40413">
      <w:pPr>
        <w:widowControl/>
        <w:autoSpaceDE/>
        <w:autoSpaceDN/>
        <w:adjustRightInd/>
        <w:ind w:left="1080"/>
        <w:rPr>
          <w:rFonts w:cs="Calibri"/>
        </w:rPr>
      </w:pP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5128CD">
      <w:headerReference w:type="default" r:id="rId16"/>
      <w:footerReference w:type="default" r:id="rId17"/>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F7E7" w14:textId="77777777" w:rsidR="00ED6E35" w:rsidRDefault="00ED6E35" w:rsidP="00C872A0">
      <w:r>
        <w:separator/>
      </w:r>
    </w:p>
  </w:endnote>
  <w:endnote w:type="continuationSeparator" w:id="0">
    <w:p w14:paraId="27673BBB" w14:textId="77777777" w:rsidR="00ED6E35" w:rsidRDefault="00ED6E35"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251138"/>
      <w:docPartObj>
        <w:docPartGallery w:val="Page Numbers (Bottom of Page)"/>
        <w:docPartUnique/>
      </w:docPartObj>
    </w:sdtPr>
    <w:sdtEndPr>
      <w:rPr>
        <w:noProof/>
      </w:rPr>
    </w:sdtEndPr>
    <w:sdtContent>
      <w:p w14:paraId="2D402E5A" w14:textId="71B9304A" w:rsidR="0071267B" w:rsidRDefault="007126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6A9C12" w14:textId="77777777" w:rsidR="0071267B" w:rsidRDefault="00712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E6FE" w14:textId="77777777" w:rsidR="00780E29" w:rsidRPr="0071267B" w:rsidRDefault="00780E29" w:rsidP="00712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659E" w14:textId="1668AEAF" w:rsidR="00780E29" w:rsidRPr="0071267B" w:rsidRDefault="00780E29" w:rsidP="007126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3AC1" w14:textId="77777777" w:rsidR="00ED6E35" w:rsidRDefault="00ED6E35" w:rsidP="00C872A0">
      <w:r>
        <w:separator/>
      </w:r>
    </w:p>
  </w:footnote>
  <w:footnote w:type="continuationSeparator" w:id="0">
    <w:p w14:paraId="7C2CBA77" w14:textId="77777777" w:rsidR="00ED6E35" w:rsidRDefault="00ED6E35"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2B96" w14:textId="77777777" w:rsidR="00780E29" w:rsidRPr="0071267B" w:rsidRDefault="00780E29" w:rsidP="00712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0803DDC7" w:rsidR="00780E29" w:rsidRPr="0071267B" w:rsidRDefault="00780E29" w:rsidP="00712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11A2137F" w:rsidR="00780E29" w:rsidRPr="00D2585B" w:rsidRDefault="00780E29" w:rsidP="00D258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8FB65C9"/>
    <w:multiLevelType w:val="hybridMultilevel"/>
    <w:tmpl w:val="C486E2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EE5020"/>
    <w:multiLevelType w:val="hybridMultilevel"/>
    <w:tmpl w:val="2A56A596"/>
    <w:lvl w:ilvl="0" w:tplc="F3EC4E1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FD08C6F6">
      <w:numFmt w:val="bullet"/>
      <w:lvlText w:val=""/>
      <w:lvlJc w:val="left"/>
      <w:pPr>
        <w:ind w:left="1040" w:hanging="360"/>
      </w:pPr>
      <w:rPr>
        <w:rFonts w:ascii="Symbol" w:eastAsia="Symbol" w:hAnsi="Symbol" w:cs="Symbol" w:hint="default"/>
        <w:b w:val="0"/>
        <w:bCs w:val="0"/>
        <w:i w:val="0"/>
        <w:iCs w:val="0"/>
        <w:w w:val="100"/>
        <w:sz w:val="24"/>
        <w:szCs w:val="24"/>
        <w:lang w:val="en-US" w:eastAsia="en-US" w:bidi="ar-SA"/>
      </w:rPr>
    </w:lvl>
    <w:lvl w:ilvl="2" w:tplc="4C58476E">
      <w:numFmt w:val="bullet"/>
      <w:lvlText w:val="•"/>
      <w:lvlJc w:val="left"/>
      <w:pPr>
        <w:ind w:left="2026" w:hanging="360"/>
      </w:pPr>
      <w:rPr>
        <w:rFonts w:hint="default"/>
        <w:lang w:val="en-US" w:eastAsia="en-US" w:bidi="ar-SA"/>
      </w:rPr>
    </w:lvl>
    <w:lvl w:ilvl="3" w:tplc="D27A0FC4">
      <w:numFmt w:val="bullet"/>
      <w:lvlText w:val="•"/>
      <w:lvlJc w:val="left"/>
      <w:pPr>
        <w:ind w:left="3013" w:hanging="360"/>
      </w:pPr>
      <w:rPr>
        <w:rFonts w:hint="default"/>
        <w:lang w:val="en-US" w:eastAsia="en-US" w:bidi="ar-SA"/>
      </w:rPr>
    </w:lvl>
    <w:lvl w:ilvl="4" w:tplc="2AEAA954">
      <w:numFmt w:val="bullet"/>
      <w:lvlText w:val="•"/>
      <w:lvlJc w:val="left"/>
      <w:pPr>
        <w:ind w:left="4000" w:hanging="360"/>
      </w:pPr>
      <w:rPr>
        <w:rFonts w:hint="default"/>
        <w:lang w:val="en-US" w:eastAsia="en-US" w:bidi="ar-SA"/>
      </w:rPr>
    </w:lvl>
    <w:lvl w:ilvl="5" w:tplc="8FE23632">
      <w:numFmt w:val="bullet"/>
      <w:lvlText w:val="•"/>
      <w:lvlJc w:val="left"/>
      <w:pPr>
        <w:ind w:left="4986" w:hanging="360"/>
      </w:pPr>
      <w:rPr>
        <w:rFonts w:hint="default"/>
        <w:lang w:val="en-US" w:eastAsia="en-US" w:bidi="ar-SA"/>
      </w:rPr>
    </w:lvl>
    <w:lvl w:ilvl="6" w:tplc="9ADA1F7C">
      <w:numFmt w:val="bullet"/>
      <w:lvlText w:val="•"/>
      <w:lvlJc w:val="left"/>
      <w:pPr>
        <w:ind w:left="5973" w:hanging="360"/>
      </w:pPr>
      <w:rPr>
        <w:rFonts w:hint="default"/>
        <w:lang w:val="en-US" w:eastAsia="en-US" w:bidi="ar-SA"/>
      </w:rPr>
    </w:lvl>
    <w:lvl w:ilvl="7" w:tplc="420A090C">
      <w:numFmt w:val="bullet"/>
      <w:lvlText w:val="•"/>
      <w:lvlJc w:val="left"/>
      <w:pPr>
        <w:ind w:left="6960" w:hanging="360"/>
      </w:pPr>
      <w:rPr>
        <w:rFonts w:hint="default"/>
        <w:lang w:val="en-US" w:eastAsia="en-US" w:bidi="ar-SA"/>
      </w:rPr>
    </w:lvl>
    <w:lvl w:ilvl="8" w:tplc="5DECA230">
      <w:numFmt w:val="bullet"/>
      <w:lvlText w:val="•"/>
      <w:lvlJc w:val="left"/>
      <w:pPr>
        <w:ind w:left="7946" w:hanging="360"/>
      </w:pPr>
      <w:rPr>
        <w:rFonts w:hint="default"/>
        <w:lang w:val="en-US" w:eastAsia="en-US" w:bidi="ar-SA"/>
      </w:rPr>
    </w:lvl>
  </w:abstractNum>
  <w:abstractNum w:abstractNumId="33"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0594839"/>
    <w:multiLevelType w:val="hybridMultilevel"/>
    <w:tmpl w:val="C71401CA"/>
    <w:lvl w:ilvl="0" w:tplc="DC6E28F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F0AA37C0">
      <w:numFmt w:val="bullet"/>
      <w:lvlText w:val="•"/>
      <w:lvlJc w:val="left"/>
      <w:pPr>
        <w:ind w:left="1820" w:hanging="360"/>
      </w:pPr>
      <w:rPr>
        <w:rFonts w:hint="default"/>
        <w:lang w:val="en-US" w:eastAsia="en-US" w:bidi="ar-SA"/>
      </w:rPr>
    </w:lvl>
    <w:lvl w:ilvl="2" w:tplc="160E8D84">
      <w:numFmt w:val="bullet"/>
      <w:lvlText w:val="•"/>
      <w:lvlJc w:val="left"/>
      <w:pPr>
        <w:ind w:left="2720" w:hanging="360"/>
      </w:pPr>
      <w:rPr>
        <w:rFonts w:hint="default"/>
        <w:lang w:val="en-US" w:eastAsia="en-US" w:bidi="ar-SA"/>
      </w:rPr>
    </w:lvl>
    <w:lvl w:ilvl="3" w:tplc="86DE7CE6">
      <w:numFmt w:val="bullet"/>
      <w:lvlText w:val="•"/>
      <w:lvlJc w:val="left"/>
      <w:pPr>
        <w:ind w:left="3620" w:hanging="360"/>
      </w:pPr>
      <w:rPr>
        <w:rFonts w:hint="default"/>
        <w:lang w:val="en-US" w:eastAsia="en-US" w:bidi="ar-SA"/>
      </w:rPr>
    </w:lvl>
    <w:lvl w:ilvl="4" w:tplc="15D86CB0">
      <w:numFmt w:val="bullet"/>
      <w:lvlText w:val="•"/>
      <w:lvlJc w:val="left"/>
      <w:pPr>
        <w:ind w:left="4520" w:hanging="360"/>
      </w:pPr>
      <w:rPr>
        <w:rFonts w:hint="default"/>
        <w:lang w:val="en-US" w:eastAsia="en-US" w:bidi="ar-SA"/>
      </w:rPr>
    </w:lvl>
    <w:lvl w:ilvl="5" w:tplc="023C0198">
      <w:numFmt w:val="bullet"/>
      <w:lvlText w:val="•"/>
      <w:lvlJc w:val="left"/>
      <w:pPr>
        <w:ind w:left="5420" w:hanging="360"/>
      </w:pPr>
      <w:rPr>
        <w:rFonts w:hint="default"/>
        <w:lang w:val="en-US" w:eastAsia="en-US" w:bidi="ar-SA"/>
      </w:rPr>
    </w:lvl>
    <w:lvl w:ilvl="6" w:tplc="6DDADF1E">
      <w:numFmt w:val="bullet"/>
      <w:lvlText w:val="•"/>
      <w:lvlJc w:val="left"/>
      <w:pPr>
        <w:ind w:left="6320" w:hanging="360"/>
      </w:pPr>
      <w:rPr>
        <w:rFonts w:hint="default"/>
        <w:lang w:val="en-US" w:eastAsia="en-US" w:bidi="ar-SA"/>
      </w:rPr>
    </w:lvl>
    <w:lvl w:ilvl="7" w:tplc="FD263F08">
      <w:numFmt w:val="bullet"/>
      <w:lvlText w:val="•"/>
      <w:lvlJc w:val="left"/>
      <w:pPr>
        <w:ind w:left="7220" w:hanging="360"/>
      </w:pPr>
      <w:rPr>
        <w:rFonts w:hint="default"/>
        <w:lang w:val="en-US" w:eastAsia="en-US" w:bidi="ar-SA"/>
      </w:rPr>
    </w:lvl>
    <w:lvl w:ilvl="8" w:tplc="7090D376">
      <w:numFmt w:val="bullet"/>
      <w:lvlText w:val="•"/>
      <w:lvlJc w:val="left"/>
      <w:pPr>
        <w:ind w:left="8120" w:hanging="360"/>
      </w:pPr>
      <w:rPr>
        <w:rFonts w:hint="default"/>
        <w:lang w:val="en-US" w:eastAsia="en-US" w:bidi="ar-SA"/>
      </w:r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1"/>
  </w:num>
  <w:num w:numId="5" w16cid:durableId="437339714">
    <w:abstractNumId w:val="28"/>
  </w:num>
  <w:num w:numId="6" w16cid:durableId="1373268660">
    <w:abstractNumId w:val="25"/>
  </w:num>
  <w:num w:numId="7" w16cid:durableId="1614284284">
    <w:abstractNumId w:val="26"/>
  </w:num>
  <w:num w:numId="8" w16cid:durableId="1901401974">
    <w:abstractNumId w:val="30"/>
  </w:num>
  <w:num w:numId="9" w16cid:durableId="340623116">
    <w:abstractNumId w:val="27"/>
  </w:num>
  <w:num w:numId="10" w16cid:durableId="1713532647">
    <w:abstractNumId w:val="33"/>
  </w:num>
  <w:num w:numId="11" w16cid:durableId="247546233">
    <w:abstractNumId w:val="23"/>
  </w:num>
  <w:num w:numId="12" w16cid:durableId="1587691524">
    <w:abstractNumId w:val="24"/>
  </w:num>
  <w:num w:numId="13" w16cid:durableId="1641809456">
    <w:abstractNumId w:val="34"/>
  </w:num>
  <w:num w:numId="14" w16cid:durableId="999651456">
    <w:abstractNumId w:val="32"/>
  </w:num>
  <w:num w:numId="15" w16cid:durableId="192980284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805"/>
    <w:rsid w:val="00002B73"/>
    <w:rsid w:val="000036AB"/>
    <w:rsid w:val="00004200"/>
    <w:rsid w:val="00007781"/>
    <w:rsid w:val="000116C0"/>
    <w:rsid w:val="0001396E"/>
    <w:rsid w:val="000141FC"/>
    <w:rsid w:val="00014C7A"/>
    <w:rsid w:val="00016214"/>
    <w:rsid w:val="00016803"/>
    <w:rsid w:val="0001706D"/>
    <w:rsid w:val="00017349"/>
    <w:rsid w:val="00021274"/>
    <w:rsid w:val="000217D1"/>
    <w:rsid w:val="00021FE0"/>
    <w:rsid w:val="00022BEE"/>
    <w:rsid w:val="00023E67"/>
    <w:rsid w:val="000248F0"/>
    <w:rsid w:val="0002572C"/>
    <w:rsid w:val="00025F57"/>
    <w:rsid w:val="00026D63"/>
    <w:rsid w:val="00027093"/>
    <w:rsid w:val="0003436A"/>
    <w:rsid w:val="0003442F"/>
    <w:rsid w:val="00034A4E"/>
    <w:rsid w:val="00035083"/>
    <w:rsid w:val="0003567C"/>
    <w:rsid w:val="00036865"/>
    <w:rsid w:val="00036BF8"/>
    <w:rsid w:val="00036EB4"/>
    <w:rsid w:val="00036F0D"/>
    <w:rsid w:val="00037F48"/>
    <w:rsid w:val="000404ED"/>
    <w:rsid w:val="00042327"/>
    <w:rsid w:val="00043515"/>
    <w:rsid w:val="00044436"/>
    <w:rsid w:val="000447C9"/>
    <w:rsid w:val="000449F8"/>
    <w:rsid w:val="00045479"/>
    <w:rsid w:val="00045BD6"/>
    <w:rsid w:val="00045C51"/>
    <w:rsid w:val="00046151"/>
    <w:rsid w:val="000468C6"/>
    <w:rsid w:val="00046BEE"/>
    <w:rsid w:val="00046E13"/>
    <w:rsid w:val="000470EE"/>
    <w:rsid w:val="000472D0"/>
    <w:rsid w:val="0005007B"/>
    <w:rsid w:val="00050FEB"/>
    <w:rsid w:val="000517FA"/>
    <w:rsid w:val="00052B36"/>
    <w:rsid w:val="00053A2C"/>
    <w:rsid w:val="00054416"/>
    <w:rsid w:val="00054900"/>
    <w:rsid w:val="00055243"/>
    <w:rsid w:val="00055B40"/>
    <w:rsid w:val="00055D27"/>
    <w:rsid w:val="00055F2C"/>
    <w:rsid w:val="00057840"/>
    <w:rsid w:val="00060D39"/>
    <w:rsid w:val="00061875"/>
    <w:rsid w:val="000625FB"/>
    <w:rsid w:val="0006398D"/>
    <w:rsid w:val="00065AB2"/>
    <w:rsid w:val="0006611A"/>
    <w:rsid w:val="00066A7B"/>
    <w:rsid w:val="00066C52"/>
    <w:rsid w:val="00067835"/>
    <w:rsid w:val="000701E4"/>
    <w:rsid w:val="0007073F"/>
    <w:rsid w:val="0007157F"/>
    <w:rsid w:val="00071E71"/>
    <w:rsid w:val="000724F1"/>
    <w:rsid w:val="0007306B"/>
    <w:rsid w:val="0007353A"/>
    <w:rsid w:val="000743D1"/>
    <w:rsid w:val="00074876"/>
    <w:rsid w:val="000760CB"/>
    <w:rsid w:val="00076601"/>
    <w:rsid w:val="000767C0"/>
    <w:rsid w:val="00077410"/>
    <w:rsid w:val="00081039"/>
    <w:rsid w:val="00083A76"/>
    <w:rsid w:val="00085230"/>
    <w:rsid w:val="00086F2F"/>
    <w:rsid w:val="0008759E"/>
    <w:rsid w:val="00087BD1"/>
    <w:rsid w:val="00087EE9"/>
    <w:rsid w:val="00090155"/>
    <w:rsid w:val="000902ED"/>
    <w:rsid w:val="0009134A"/>
    <w:rsid w:val="00091ABD"/>
    <w:rsid w:val="00091AE2"/>
    <w:rsid w:val="00091B54"/>
    <w:rsid w:val="000923E0"/>
    <w:rsid w:val="00092555"/>
    <w:rsid w:val="000929B5"/>
    <w:rsid w:val="00092F1B"/>
    <w:rsid w:val="00093239"/>
    <w:rsid w:val="0009535D"/>
    <w:rsid w:val="0009583F"/>
    <w:rsid w:val="00095C3F"/>
    <w:rsid w:val="000969E2"/>
    <w:rsid w:val="000A134A"/>
    <w:rsid w:val="000A1CE9"/>
    <w:rsid w:val="000A2DE7"/>
    <w:rsid w:val="000A3878"/>
    <w:rsid w:val="000A40EC"/>
    <w:rsid w:val="000A55DB"/>
    <w:rsid w:val="000A658C"/>
    <w:rsid w:val="000A7279"/>
    <w:rsid w:val="000A78D7"/>
    <w:rsid w:val="000A7A05"/>
    <w:rsid w:val="000B07D7"/>
    <w:rsid w:val="000B0CD4"/>
    <w:rsid w:val="000B1A5B"/>
    <w:rsid w:val="000B1ECC"/>
    <w:rsid w:val="000B22E4"/>
    <w:rsid w:val="000B3A37"/>
    <w:rsid w:val="000B3DB5"/>
    <w:rsid w:val="000B440B"/>
    <w:rsid w:val="000B4852"/>
    <w:rsid w:val="000B6A8A"/>
    <w:rsid w:val="000C04C6"/>
    <w:rsid w:val="000C0E15"/>
    <w:rsid w:val="000C0E53"/>
    <w:rsid w:val="000C12C6"/>
    <w:rsid w:val="000C1882"/>
    <w:rsid w:val="000C1ED8"/>
    <w:rsid w:val="000C295F"/>
    <w:rsid w:val="000C2E74"/>
    <w:rsid w:val="000C368E"/>
    <w:rsid w:val="000C38BD"/>
    <w:rsid w:val="000C4141"/>
    <w:rsid w:val="000C43DE"/>
    <w:rsid w:val="000C46E4"/>
    <w:rsid w:val="000C5C82"/>
    <w:rsid w:val="000C7C9A"/>
    <w:rsid w:val="000D343F"/>
    <w:rsid w:val="000D3789"/>
    <w:rsid w:val="000D4560"/>
    <w:rsid w:val="000D4A64"/>
    <w:rsid w:val="000D4CA3"/>
    <w:rsid w:val="000D750A"/>
    <w:rsid w:val="000D7AAD"/>
    <w:rsid w:val="000E0408"/>
    <w:rsid w:val="000E07E7"/>
    <w:rsid w:val="000E0DD1"/>
    <w:rsid w:val="000E1AA2"/>
    <w:rsid w:val="000E20A2"/>
    <w:rsid w:val="000E46F3"/>
    <w:rsid w:val="000E5C64"/>
    <w:rsid w:val="000E6466"/>
    <w:rsid w:val="000E7F42"/>
    <w:rsid w:val="000F1D68"/>
    <w:rsid w:val="000F1E49"/>
    <w:rsid w:val="000F3AC3"/>
    <w:rsid w:val="000F46ED"/>
    <w:rsid w:val="000F4DA3"/>
    <w:rsid w:val="000F5631"/>
    <w:rsid w:val="000F5A36"/>
    <w:rsid w:val="000F63C1"/>
    <w:rsid w:val="000F6A5C"/>
    <w:rsid w:val="000F6F21"/>
    <w:rsid w:val="000F7ECC"/>
    <w:rsid w:val="001039FA"/>
    <w:rsid w:val="001056A7"/>
    <w:rsid w:val="0011011A"/>
    <w:rsid w:val="00110CB0"/>
    <w:rsid w:val="001113A1"/>
    <w:rsid w:val="00111F7E"/>
    <w:rsid w:val="00112C81"/>
    <w:rsid w:val="0011326F"/>
    <w:rsid w:val="0011522A"/>
    <w:rsid w:val="00115B48"/>
    <w:rsid w:val="00115DF5"/>
    <w:rsid w:val="00116055"/>
    <w:rsid w:val="001170E4"/>
    <w:rsid w:val="00117115"/>
    <w:rsid w:val="001174A0"/>
    <w:rsid w:val="001206B1"/>
    <w:rsid w:val="00120CA9"/>
    <w:rsid w:val="0012164B"/>
    <w:rsid w:val="00122228"/>
    <w:rsid w:val="0012279E"/>
    <w:rsid w:val="00122839"/>
    <w:rsid w:val="00122BD3"/>
    <w:rsid w:val="00123AC4"/>
    <w:rsid w:val="00125065"/>
    <w:rsid w:val="00125345"/>
    <w:rsid w:val="00125C8A"/>
    <w:rsid w:val="00126880"/>
    <w:rsid w:val="00132862"/>
    <w:rsid w:val="00132F71"/>
    <w:rsid w:val="001330E6"/>
    <w:rsid w:val="001341FE"/>
    <w:rsid w:val="00134F5C"/>
    <w:rsid w:val="00134F5D"/>
    <w:rsid w:val="001358F0"/>
    <w:rsid w:val="00136DA3"/>
    <w:rsid w:val="001376D1"/>
    <w:rsid w:val="00140C21"/>
    <w:rsid w:val="00141758"/>
    <w:rsid w:val="0014199D"/>
    <w:rsid w:val="00142198"/>
    <w:rsid w:val="00143ACD"/>
    <w:rsid w:val="0014420A"/>
    <w:rsid w:val="00144A53"/>
    <w:rsid w:val="00145BC1"/>
    <w:rsid w:val="001469F6"/>
    <w:rsid w:val="001471B8"/>
    <w:rsid w:val="00147B01"/>
    <w:rsid w:val="00147B83"/>
    <w:rsid w:val="00147F8B"/>
    <w:rsid w:val="00150961"/>
    <w:rsid w:val="00150F03"/>
    <w:rsid w:val="001515BB"/>
    <w:rsid w:val="00151CFD"/>
    <w:rsid w:val="00152207"/>
    <w:rsid w:val="00155591"/>
    <w:rsid w:val="00156CD6"/>
    <w:rsid w:val="00156E0C"/>
    <w:rsid w:val="00157520"/>
    <w:rsid w:val="00160744"/>
    <w:rsid w:val="00161740"/>
    <w:rsid w:val="0016336D"/>
    <w:rsid w:val="00163E90"/>
    <w:rsid w:val="00171B65"/>
    <w:rsid w:val="00172085"/>
    <w:rsid w:val="00173853"/>
    <w:rsid w:val="001747DD"/>
    <w:rsid w:val="0017552C"/>
    <w:rsid w:val="00176DF8"/>
    <w:rsid w:val="00177A1E"/>
    <w:rsid w:val="00177D70"/>
    <w:rsid w:val="00182B5C"/>
    <w:rsid w:val="00182CE0"/>
    <w:rsid w:val="001843E2"/>
    <w:rsid w:val="00184E43"/>
    <w:rsid w:val="00185C7D"/>
    <w:rsid w:val="001861B8"/>
    <w:rsid w:val="00187065"/>
    <w:rsid w:val="00187182"/>
    <w:rsid w:val="001902FE"/>
    <w:rsid w:val="001927A4"/>
    <w:rsid w:val="00192881"/>
    <w:rsid w:val="00192C14"/>
    <w:rsid w:val="00193E53"/>
    <w:rsid w:val="00193EC9"/>
    <w:rsid w:val="001941DE"/>
    <w:rsid w:val="00195153"/>
    <w:rsid w:val="001958C8"/>
    <w:rsid w:val="001A0A9C"/>
    <w:rsid w:val="001A2967"/>
    <w:rsid w:val="001A335E"/>
    <w:rsid w:val="001A3671"/>
    <w:rsid w:val="001A3F0B"/>
    <w:rsid w:val="001A6B79"/>
    <w:rsid w:val="001A7BB9"/>
    <w:rsid w:val="001A7F60"/>
    <w:rsid w:val="001B0219"/>
    <w:rsid w:val="001B02D7"/>
    <w:rsid w:val="001B0632"/>
    <w:rsid w:val="001B0AF1"/>
    <w:rsid w:val="001B1230"/>
    <w:rsid w:val="001B160F"/>
    <w:rsid w:val="001B284A"/>
    <w:rsid w:val="001B346B"/>
    <w:rsid w:val="001B6DA7"/>
    <w:rsid w:val="001B77A2"/>
    <w:rsid w:val="001C154D"/>
    <w:rsid w:val="001C1E47"/>
    <w:rsid w:val="001C2B11"/>
    <w:rsid w:val="001C3276"/>
    <w:rsid w:val="001C3361"/>
    <w:rsid w:val="001C44E8"/>
    <w:rsid w:val="001C560E"/>
    <w:rsid w:val="001C58C2"/>
    <w:rsid w:val="001C620B"/>
    <w:rsid w:val="001C7801"/>
    <w:rsid w:val="001D1711"/>
    <w:rsid w:val="001D1819"/>
    <w:rsid w:val="001D1A16"/>
    <w:rsid w:val="001D2759"/>
    <w:rsid w:val="001D4755"/>
    <w:rsid w:val="001D625D"/>
    <w:rsid w:val="001D6530"/>
    <w:rsid w:val="001D681F"/>
    <w:rsid w:val="001D6D59"/>
    <w:rsid w:val="001D7428"/>
    <w:rsid w:val="001D7613"/>
    <w:rsid w:val="001E0EFF"/>
    <w:rsid w:val="001E1B35"/>
    <w:rsid w:val="001E1C5D"/>
    <w:rsid w:val="001E1FD1"/>
    <w:rsid w:val="001E2D62"/>
    <w:rsid w:val="001E2FBB"/>
    <w:rsid w:val="001E4F8A"/>
    <w:rsid w:val="001E5ABD"/>
    <w:rsid w:val="001E5C43"/>
    <w:rsid w:val="001E5FE4"/>
    <w:rsid w:val="001E71BA"/>
    <w:rsid w:val="001F0B51"/>
    <w:rsid w:val="001F0DC2"/>
    <w:rsid w:val="001F1466"/>
    <w:rsid w:val="001F1D8A"/>
    <w:rsid w:val="001F28FA"/>
    <w:rsid w:val="001F359C"/>
    <w:rsid w:val="001F3750"/>
    <w:rsid w:val="001F40E1"/>
    <w:rsid w:val="001F58B8"/>
    <w:rsid w:val="002007DA"/>
    <w:rsid w:val="00200D27"/>
    <w:rsid w:val="00200FB5"/>
    <w:rsid w:val="002011AC"/>
    <w:rsid w:val="00201EB9"/>
    <w:rsid w:val="00202BD7"/>
    <w:rsid w:val="002048CC"/>
    <w:rsid w:val="0020506D"/>
    <w:rsid w:val="00205391"/>
    <w:rsid w:val="00205A99"/>
    <w:rsid w:val="00205B95"/>
    <w:rsid w:val="0020733F"/>
    <w:rsid w:val="0020799E"/>
    <w:rsid w:val="00207B94"/>
    <w:rsid w:val="00210157"/>
    <w:rsid w:val="00210B00"/>
    <w:rsid w:val="00210E15"/>
    <w:rsid w:val="00211626"/>
    <w:rsid w:val="0021277A"/>
    <w:rsid w:val="00212BC7"/>
    <w:rsid w:val="0021380C"/>
    <w:rsid w:val="00213FCA"/>
    <w:rsid w:val="002148F3"/>
    <w:rsid w:val="00216621"/>
    <w:rsid w:val="00216B0E"/>
    <w:rsid w:val="00217433"/>
    <w:rsid w:val="00217437"/>
    <w:rsid w:val="0022017B"/>
    <w:rsid w:val="00222350"/>
    <w:rsid w:val="002231D3"/>
    <w:rsid w:val="002235F3"/>
    <w:rsid w:val="002247E7"/>
    <w:rsid w:val="0022537C"/>
    <w:rsid w:val="0022685E"/>
    <w:rsid w:val="00227868"/>
    <w:rsid w:val="00230915"/>
    <w:rsid w:val="00230D53"/>
    <w:rsid w:val="0023191B"/>
    <w:rsid w:val="002337B2"/>
    <w:rsid w:val="00233C64"/>
    <w:rsid w:val="002404BA"/>
    <w:rsid w:val="002427F7"/>
    <w:rsid w:val="00243015"/>
    <w:rsid w:val="00243233"/>
    <w:rsid w:val="0024338F"/>
    <w:rsid w:val="002511A8"/>
    <w:rsid w:val="002511E9"/>
    <w:rsid w:val="002512E8"/>
    <w:rsid w:val="00251FA2"/>
    <w:rsid w:val="002523FB"/>
    <w:rsid w:val="002529E8"/>
    <w:rsid w:val="00253249"/>
    <w:rsid w:val="002536CB"/>
    <w:rsid w:val="0025526A"/>
    <w:rsid w:val="00255EA4"/>
    <w:rsid w:val="00260A89"/>
    <w:rsid w:val="00260C9F"/>
    <w:rsid w:val="00261A11"/>
    <w:rsid w:val="00262A51"/>
    <w:rsid w:val="00262DDC"/>
    <w:rsid w:val="002648FC"/>
    <w:rsid w:val="0026564F"/>
    <w:rsid w:val="00265778"/>
    <w:rsid w:val="002658D0"/>
    <w:rsid w:val="00265F56"/>
    <w:rsid w:val="002679E5"/>
    <w:rsid w:val="00270695"/>
    <w:rsid w:val="002707B8"/>
    <w:rsid w:val="0027084D"/>
    <w:rsid w:val="00270C8D"/>
    <w:rsid w:val="002725BC"/>
    <w:rsid w:val="002731DE"/>
    <w:rsid w:val="002734FF"/>
    <w:rsid w:val="002735F9"/>
    <w:rsid w:val="00273CD1"/>
    <w:rsid w:val="00274463"/>
    <w:rsid w:val="0027502F"/>
    <w:rsid w:val="00277C24"/>
    <w:rsid w:val="0028166F"/>
    <w:rsid w:val="00281733"/>
    <w:rsid w:val="0028174D"/>
    <w:rsid w:val="00281A30"/>
    <w:rsid w:val="002823D9"/>
    <w:rsid w:val="002831C6"/>
    <w:rsid w:val="00283FF9"/>
    <w:rsid w:val="00290B29"/>
    <w:rsid w:val="00292313"/>
    <w:rsid w:val="00294168"/>
    <w:rsid w:val="00294245"/>
    <w:rsid w:val="002948AE"/>
    <w:rsid w:val="00294FD0"/>
    <w:rsid w:val="002954DC"/>
    <w:rsid w:val="00295886"/>
    <w:rsid w:val="0029647F"/>
    <w:rsid w:val="002966F6"/>
    <w:rsid w:val="00296B1E"/>
    <w:rsid w:val="00297ABC"/>
    <w:rsid w:val="002A2421"/>
    <w:rsid w:val="002A39F7"/>
    <w:rsid w:val="002A40A1"/>
    <w:rsid w:val="002A4594"/>
    <w:rsid w:val="002A4934"/>
    <w:rsid w:val="002A50A7"/>
    <w:rsid w:val="002A6098"/>
    <w:rsid w:val="002A65C4"/>
    <w:rsid w:val="002A6CAA"/>
    <w:rsid w:val="002A6EA8"/>
    <w:rsid w:val="002B020A"/>
    <w:rsid w:val="002B12F9"/>
    <w:rsid w:val="002B228C"/>
    <w:rsid w:val="002B235F"/>
    <w:rsid w:val="002B334F"/>
    <w:rsid w:val="002B3E37"/>
    <w:rsid w:val="002B4100"/>
    <w:rsid w:val="002B4250"/>
    <w:rsid w:val="002B429D"/>
    <w:rsid w:val="002B43F3"/>
    <w:rsid w:val="002B4830"/>
    <w:rsid w:val="002B4F49"/>
    <w:rsid w:val="002B5AE5"/>
    <w:rsid w:val="002B63FA"/>
    <w:rsid w:val="002B7D36"/>
    <w:rsid w:val="002C1E78"/>
    <w:rsid w:val="002C21A1"/>
    <w:rsid w:val="002C4E8C"/>
    <w:rsid w:val="002C65D1"/>
    <w:rsid w:val="002D0261"/>
    <w:rsid w:val="002D037E"/>
    <w:rsid w:val="002D1D1E"/>
    <w:rsid w:val="002D473A"/>
    <w:rsid w:val="002D4F37"/>
    <w:rsid w:val="002D54B7"/>
    <w:rsid w:val="002D61CE"/>
    <w:rsid w:val="002D6E03"/>
    <w:rsid w:val="002E030B"/>
    <w:rsid w:val="002E211F"/>
    <w:rsid w:val="002E397D"/>
    <w:rsid w:val="002E43B7"/>
    <w:rsid w:val="002E4405"/>
    <w:rsid w:val="002E4FDC"/>
    <w:rsid w:val="002E50F9"/>
    <w:rsid w:val="002E516E"/>
    <w:rsid w:val="002E5F0C"/>
    <w:rsid w:val="002E6386"/>
    <w:rsid w:val="002E6E73"/>
    <w:rsid w:val="002E799C"/>
    <w:rsid w:val="002F140C"/>
    <w:rsid w:val="002F1AD5"/>
    <w:rsid w:val="002F313C"/>
    <w:rsid w:val="002F4FA0"/>
    <w:rsid w:val="002F5F07"/>
    <w:rsid w:val="002F78C9"/>
    <w:rsid w:val="002F7F47"/>
    <w:rsid w:val="0030105C"/>
    <w:rsid w:val="00304846"/>
    <w:rsid w:val="00304930"/>
    <w:rsid w:val="0030523E"/>
    <w:rsid w:val="00306137"/>
    <w:rsid w:val="00312D97"/>
    <w:rsid w:val="00312FDE"/>
    <w:rsid w:val="0031397F"/>
    <w:rsid w:val="0031493F"/>
    <w:rsid w:val="00315E58"/>
    <w:rsid w:val="00320A32"/>
    <w:rsid w:val="00320DA0"/>
    <w:rsid w:val="00322518"/>
    <w:rsid w:val="00322C51"/>
    <w:rsid w:val="003235C8"/>
    <w:rsid w:val="003249AC"/>
    <w:rsid w:val="0032597C"/>
    <w:rsid w:val="00327926"/>
    <w:rsid w:val="00327E12"/>
    <w:rsid w:val="003306BF"/>
    <w:rsid w:val="00331F49"/>
    <w:rsid w:val="00334155"/>
    <w:rsid w:val="0033567A"/>
    <w:rsid w:val="00336613"/>
    <w:rsid w:val="00336FF6"/>
    <w:rsid w:val="0033715B"/>
    <w:rsid w:val="003400CE"/>
    <w:rsid w:val="00340ED2"/>
    <w:rsid w:val="00341DD1"/>
    <w:rsid w:val="00343604"/>
    <w:rsid w:val="00344186"/>
    <w:rsid w:val="00344D3F"/>
    <w:rsid w:val="0034504D"/>
    <w:rsid w:val="00345174"/>
    <w:rsid w:val="0034562A"/>
    <w:rsid w:val="003478A8"/>
    <w:rsid w:val="00351ABE"/>
    <w:rsid w:val="00351DAD"/>
    <w:rsid w:val="0035483B"/>
    <w:rsid w:val="0035620E"/>
    <w:rsid w:val="0035765D"/>
    <w:rsid w:val="00360CDE"/>
    <w:rsid w:val="003625AF"/>
    <w:rsid w:val="00363176"/>
    <w:rsid w:val="00363AF6"/>
    <w:rsid w:val="0036420B"/>
    <w:rsid w:val="00366FCA"/>
    <w:rsid w:val="003675BA"/>
    <w:rsid w:val="00371330"/>
    <w:rsid w:val="00373067"/>
    <w:rsid w:val="00373624"/>
    <w:rsid w:val="00374643"/>
    <w:rsid w:val="00374E61"/>
    <w:rsid w:val="0037554E"/>
    <w:rsid w:val="003759CE"/>
    <w:rsid w:val="00375AFE"/>
    <w:rsid w:val="003764B8"/>
    <w:rsid w:val="00380246"/>
    <w:rsid w:val="0038038C"/>
    <w:rsid w:val="00380DBE"/>
    <w:rsid w:val="003810F0"/>
    <w:rsid w:val="003822A8"/>
    <w:rsid w:val="00382632"/>
    <w:rsid w:val="00383151"/>
    <w:rsid w:val="00383223"/>
    <w:rsid w:val="00384D3F"/>
    <w:rsid w:val="003861AB"/>
    <w:rsid w:val="0038622A"/>
    <w:rsid w:val="00386A92"/>
    <w:rsid w:val="00387B03"/>
    <w:rsid w:val="00387C8A"/>
    <w:rsid w:val="0039036E"/>
    <w:rsid w:val="00391D6F"/>
    <w:rsid w:val="00392C0A"/>
    <w:rsid w:val="00393B9E"/>
    <w:rsid w:val="0039497C"/>
    <w:rsid w:val="00395A18"/>
    <w:rsid w:val="0039632A"/>
    <w:rsid w:val="00396CFB"/>
    <w:rsid w:val="00397DF9"/>
    <w:rsid w:val="003A15AE"/>
    <w:rsid w:val="003A1E5E"/>
    <w:rsid w:val="003A1F58"/>
    <w:rsid w:val="003A20DA"/>
    <w:rsid w:val="003A2119"/>
    <w:rsid w:val="003A3401"/>
    <w:rsid w:val="003A4F3E"/>
    <w:rsid w:val="003A53CD"/>
    <w:rsid w:val="003A5E2F"/>
    <w:rsid w:val="003A6DB0"/>
    <w:rsid w:val="003A79DB"/>
    <w:rsid w:val="003B022E"/>
    <w:rsid w:val="003B2977"/>
    <w:rsid w:val="003B3314"/>
    <w:rsid w:val="003B3D85"/>
    <w:rsid w:val="003B3DD0"/>
    <w:rsid w:val="003B42CB"/>
    <w:rsid w:val="003B4673"/>
    <w:rsid w:val="003B572B"/>
    <w:rsid w:val="003B5B99"/>
    <w:rsid w:val="003B7931"/>
    <w:rsid w:val="003C24E4"/>
    <w:rsid w:val="003C25AC"/>
    <w:rsid w:val="003C45C1"/>
    <w:rsid w:val="003C553A"/>
    <w:rsid w:val="003C5C8B"/>
    <w:rsid w:val="003C664A"/>
    <w:rsid w:val="003C70C3"/>
    <w:rsid w:val="003C79C1"/>
    <w:rsid w:val="003D0C21"/>
    <w:rsid w:val="003D1DCD"/>
    <w:rsid w:val="003D248B"/>
    <w:rsid w:val="003D2943"/>
    <w:rsid w:val="003D2D9C"/>
    <w:rsid w:val="003D2F9B"/>
    <w:rsid w:val="003D4587"/>
    <w:rsid w:val="003D4ED4"/>
    <w:rsid w:val="003D53B8"/>
    <w:rsid w:val="003D5D7B"/>
    <w:rsid w:val="003D6D33"/>
    <w:rsid w:val="003D750D"/>
    <w:rsid w:val="003E01A1"/>
    <w:rsid w:val="003E1251"/>
    <w:rsid w:val="003E2170"/>
    <w:rsid w:val="003E375A"/>
    <w:rsid w:val="003E4294"/>
    <w:rsid w:val="003E4B5E"/>
    <w:rsid w:val="003E6165"/>
    <w:rsid w:val="003E6A8F"/>
    <w:rsid w:val="003E6E8B"/>
    <w:rsid w:val="003E7A6E"/>
    <w:rsid w:val="003E7AEA"/>
    <w:rsid w:val="003F0994"/>
    <w:rsid w:val="003F0FB1"/>
    <w:rsid w:val="003F1BDE"/>
    <w:rsid w:val="003F2C9D"/>
    <w:rsid w:val="003F2E2D"/>
    <w:rsid w:val="003F3396"/>
    <w:rsid w:val="003F3878"/>
    <w:rsid w:val="003F46FA"/>
    <w:rsid w:val="003F6C61"/>
    <w:rsid w:val="003F7844"/>
    <w:rsid w:val="003F78C1"/>
    <w:rsid w:val="003F7A1E"/>
    <w:rsid w:val="004007AC"/>
    <w:rsid w:val="00401AD3"/>
    <w:rsid w:val="00401DF0"/>
    <w:rsid w:val="0040227E"/>
    <w:rsid w:val="00403973"/>
    <w:rsid w:val="00403ADC"/>
    <w:rsid w:val="0040424A"/>
    <w:rsid w:val="004103CD"/>
    <w:rsid w:val="00410A18"/>
    <w:rsid w:val="00410CBE"/>
    <w:rsid w:val="004119E8"/>
    <w:rsid w:val="00411E44"/>
    <w:rsid w:val="004134D7"/>
    <w:rsid w:val="004138A5"/>
    <w:rsid w:val="00414885"/>
    <w:rsid w:val="004148C0"/>
    <w:rsid w:val="00414F98"/>
    <w:rsid w:val="0041560D"/>
    <w:rsid w:val="00416112"/>
    <w:rsid w:val="004161CB"/>
    <w:rsid w:val="00422070"/>
    <w:rsid w:val="00423066"/>
    <w:rsid w:val="0042395F"/>
    <w:rsid w:val="0042568D"/>
    <w:rsid w:val="00425EE1"/>
    <w:rsid w:val="00426918"/>
    <w:rsid w:val="0042694A"/>
    <w:rsid w:val="00430741"/>
    <w:rsid w:val="00431115"/>
    <w:rsid w:val="00431F6C"/>
    <w:rsid w:val="00435253"/>
    <w:rsid w:val="004359BB"/>
    <w:rsid w:val="00440DF1"/>
    <w:rsid w:val="004419F6"/>
    <w:rsid w:val="00443054"/>
    <w:rsid w:val="00443D46"/>
    <w:rsid w:val="00446455"/>
    <w:rsid w:val="0045049B"/>
    <w:rsid w:val="00451D3D"/>
    <w:rsid w:val="00451DA6"/>
    <w:rsid w:val="00454277"/>
    <w:rsid w:val="00454FE1"/>
    <w:rsid w:val="00456A58"/>
    <w:rsid w:val="00456AB3"/>
    <w:rsid w:val="00456C45"/>
    <w:rsid w:val="00457149"/>
    <w:rsid w:val="00457ADF"/>
    <w:rsid w:val="0046047E"/>
    <w:rsid w:val="0046317F"/>
    <w:rsid w:val="00464590"/>
    <w:rsid w:val="00464B4C"/>
    <w:rsid w:val="00464C75"/>
    <w:rsid w:val="004658D1"/>
    <w:rsid w:val="00466B8D"/>
    <w:rsid w:val="00470794"/>
    <w:rsid w:val="00471DCC"/>
    <w:rsid w:val="004729E0"/>
    <w:rsid w:val="00473850"/>
    <w:rsid w:val="00473A4D"/>
    <w:rsid w:val="00473DD7"/>
    <w:rsid w:val="00473E98"/>
    <w:rsid w:val="004740E8"/>
    <w:rsid w:val="00474125"/>
    <w:rsid w:val="004745DA"/>
    <w:rsid w:val="00474896"/>
    <w:rsid w:val="00475E79"/>
    <w:rsid w:val="00476C08"/>
    <w:rsid w:val="0047789A"/>
    <w:rsid w:val="00480BEA"/>
    <w:rsid w:val="004811CE"/>
    <w:rsid w:val="00483334"/>
    <w:rsid w:val="004834B7"/>
    <w:rsid w:val="00483779"/>
    <w:rsid w:val="0048380E"/>
    <w:rsid w:val="00486665"/>
    <w:rsid w:val="0048668C"/>
    <w:rsid w:val="00486971"/>
    <w:rsid w:val="00486A70"/>
    <w:rsid w:val="00486BE3"/>
    <w:rsid w:val="00487D91"/>
    <w:rsid w:val="00490395"/>
    <w:rsid w:val="0049137F"/>
    <w:rsid w:val="00491ECF"/>
    <w:rsid w:val="00492379"/>
    <w:rsid w:val="004923EB"/>
    <w:rsid w:val="0049240B"/>
    <w:rsid w:val="0049342D"/>
    <w:rsid w:val="0049420B"/>
    <w:rsid w:val="0049474F"/>
    <w:rsid w:val="004954D4"/>
    <w:rsid w:val="00496760"/>
    <w:rsid w:val="00497316"/>
    <w:rsid w:val="00497C0D"/>
    <w:rsid w:val="00497CF7"/>
    <w:rsid w:val="004A17E0"/>
    <w:rsid w:val="004A57F6"/>
    <w:rsid w:val="004A5A2F"/>
    <w:rsid w:val="004A613F"/>
    <w:rsid w:val="004B0D97"/>
    <w:rsid w:val="004B0ECE"/>
    <w:rsid w:val="004B106A"/>
    <w:rsid w:val="004B31ED"/>
    <w:rsid w:val="004B350A"/>
    <w:rsid w:val="004B394F"/>
    <w:rsid w:val="004B3ACA"/>
    <w:rsid w:val="004B3D81"/>
    <w:rsid w:val="004B44D0"/>
    <w:rsid w:val="004B7A53"/>
    <w:rsid w:val="004C1432"/>
    <w:rsid w:val="004C3ECD"/>
    <w:rsid w:val="004C4576"/>
    <w:rsid w:val="004C5E86"/>
    <w:rsid w:val="004C641B"/>
    <w:rsid w:val="004C6A8B"/>
    <w:rsid w:val="004C7081"/>
    <w:rsid w:val="004C7EFC"/>
    <w:rsid w:val="004D0505"/>
    <w:rsid w:val="004D05C8"/>
    <w:rsid w:val="004D0B18"/>
    <w:rsid w:val="004D0DD0"/>
    <w:rsid w:val="004D194A"/>
    <w:rsid w:val="004D2808"/>
    <w:rsid w:val="004D4A2C"/>
    <w:rsid w:val="004D7611"/>
    <w:rsid w:val="004E09ED"/>
    <w:rsid w:val="004E11D8"/>
    <w:rsid w:val="004E1A8C"/>
    <w:rsid w:val="004E22AA"/>
    <w:rsid w:val="004E283C"/>
    <w:rsid w:val="004E3225"/>
    <w:rsid w:val="004E40FD"/>
    <w:rsid w:val="004E4C79"/>
    <w:rsid w:val="004E505A"/>
    <w:rsid w:val="004E58BC"/>
    <w:rsid w:val="004E6043"/>
    <w:rsid w:val="004E72DE"/>
    <w:rsid w:val="004E7417"/>
    <w:rsid w:val="004E7689"/>
    <w:rsid w:val="004E7EDF"/>
    <w:rsid w:val="004F4B9A"/>
    <w:rsid w:val="004F4D6A"/>
    <w:rsid w:val="004F5900"/>
    <w:rsid w:val="004F5FF4"/>
    <w:rsid w:val="004F706D"/>
    <w:rsid w:val="004F7483"/>
    <w:rsid w:val="004F7758"/>
    <w:rsid w:val="004F799A"/>
    <w:rsid w:val="0050077F"/>
    <w:rsid w:val="00500DEF"/>
    <w:rsid w:val="00501630"/>
    <w:rsid w:val="00501CB0"/>
    <w:rsid w:val="00502D50"/>
    <w:rsid w:val="00504921"/>
    <w:rsid w:val="00510256"/>
    <w:rsid w:val="0051107A"/>
    <w:rsid w:val="00511BBB"/>
    <w:rsid w:val="00512339"/>
    <w:rsid w:val="005128CD"/>
    <w:rsid w:val="005129C3"/>
    <w:rsid w:val="005133E4"/>
    <w:rsid w:val="00513906"/>
    <w:rsid w:val="00513BF3"/>
    <w:rsid w:val="0051489E"/>
    <w:rsid w:val="00514AFF"/>
    <w:rsid w:val="00516517"/>
    <w:rsid w:val="005175EF"/>
    <w:rsid w:val="005179A1"/>
    <w:rsid w:val="00521191"/>
    <w:rsid w:val="005218C3"/>
    <w:rsid w:val="00521951"/>
    <w:rsid w:val="00522159"/>
    <w:rsid w:val="0052483D"/>
    <w:rsid w:val="00525399"/>
    <w:rsid w:val="00525623"/>
    <w:rsid w:val="0052604A"/>
    <w:rsid w:val="00531978"/>
    <w:rsid w:val="005325FA"/>
    <w:rsid w:val="00533FBF"/>
    <w:rsid w:val="005353EA"/>
    <w:rsid w:val="005367D5"/>
    <w:rsid w:val="00536FF5"/>
    <w:rsid w:val="00537E35"/>
    <w:rsid w:val="00540A1E"/>
    <w:rsid w:val="00540D4C"/>
    <w:rsid w:val="00541BE6"/>
    <w:rsid w:val="00542FFC"/>
    <w:rsid w:val="00543D20"/>
    <w:rsid w:val="00543F37"/>
    <w:rsid w:val="00545AD4"/>
    <w:rsid w:val="005461C0"/>
    <w:rsid w:val="00547B1C"/>
    <w:rsid w:val="005502AD"/>
    <w:rsid w:val="005504BC"/>
    <w:rsid w:val="00551791"/>
    <w:rsid w:val="005524BF"/>
    <w:rsid w:val="00552EB3"/>
    <w:rsid w:val="00553AA5"/>
    <w:rsid w:val="00554025"/>
    <w:rsid w:val="005543E0"/>
    <w:rsid w:val="00555259"/>
    <w:rsid w:val="005556B2"/>
    <w:rsid w:val="00561459"/>
    <w:rsid w:val="00561B12"/>
    <w:rsid w:val="0056204C"/>
    <w:rsid w:val="00562433"/>
    <w:rsid w:val="00562F0E"/>
    <w:rsid w:val="005647C8"/>
    <w:rsid w:val="00565D72"/>
    <w:rsid w:val="00565F80"/>
    <w:rsid w:val="005660FD"/>
    <w:rsid w:val="005672B5"/>
    <w:rsid w:val="005700FC"/>
    <w:rsid w:val="00571660"/>
    <w:rsid w:val="0057283B"/>
    <w:rsid w:val="00575B51"/>
    <w:rsid w:val="00576178"/>
    <w:rsid w:val="0057789C"/>
    <w:rsid w:val="005819C5"/>
    <w:rsid w:val="005824E9"/>
    <w:rsid w:val="005837BD"/>
    <w:rsid w:val="0058464C"/>
    <w:rsid w:val="00584756"/>
    <w:rsid w:val="005860FD"/>
    <w:rsid w:val="00587EE4"/>
    <w:rsid w:val="00590091"/>
    <w:rsid w:val="0059044C"/>
    <w:rsid w:val="0059072C"/>
    <w:rsid w:val="005915D6"/>
    <w:rsid w:val="00591A40"/>
    <w:rsid w:val="00591F96"/>
    <w:rsid w:val="00594F37"/>
    <w:rsid w:val="00597441"/>
    <w:rsid w:val="005A0888"/>
    <w:rsid w:val="005A1AFE"/>
    <w:rsid w:val="005A2F63"/>
    <w:rsid w:val="005A2F6F"/>
    <w:rsid w:val="005A573D"/>
    <w:rsid w:val="005A59F4"/>
    <w:rsid w:val="005A5B9A"/>
    <w:rsid w:val="005A5C27"/>
    <w:rsid w:val="005A5EEE"/>
    <w:rsid w:val="005A6B9B"/>
    <w:rsid w:val="005A6F89"/>
    <w:rsid w:val="005A7708"/>
    <w:rsid w:val="005B0F17"/>
    <w:rsid w:val="005B17CD"/>
    <w:rsid w:val="005B368D"/>
    <w:rsid w:val="005B3E85"/>
    <w:rsid w:val="005B50B8"/>
    <w:rsid w:val="005B5B2D"/>
    <w:rsid w:val="005B5BFC"/>
    <w:rsid w:val="005B670F"/>
    <w:rsid w:val="005B7C09"/>
    <w:rsid w:val="005C138B"/>
    <w:rsid w:val="005C1BFC"/>
    <w:rsid w:val="005C22AB"/>
    <w:rsid w:val="005C3F96"/>
    <w:rsid w:val="005C4152"/>
    <w:rsid w:val="005C489D"/>
    <w:rsid w:val="005C59CE"/>
    <w:rsid w:val="005C5F99"/>
    <w:rsid w:val="005C6529"/>
    <w:rsid w:val="005D027D"/>
    <w:rsid w:val="005D07C0"/>
    <w:rsid w:val="005D1398"/>
    <w:rsid w:val="005D1B1B"/>
    <w:rsid w:val="005D1F76"/>
    <w:rsid w:val="005D1FFE"/>
    <w:rsid w:val="005D25EC"/>
    <w:rsid w:val="005D2ABC"/>
    <w:rsid w:val="005D2D13"/>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EFB"/>
    <w:rsid w:val="005E56E6"/>
    <w:rsid w:val="005E61ED"/>
    <w:rsid w:val="005F128A"/>
    <w:rsid w:val="005F1373"/>
    <w:rsid w:val="005F1913"/>
    <w:rsid w:val="005F4085"/>
    <w:rsid w:val="005F70AA"/>
    <w:rsid w:val="005F71A2"/>
    <w:rsid w:val="005F77E4"/>
    <w:rsid w:val="00600B02"/>
    <w:rsid w:val="00600D22"/>
    <w:rsid w:val="00601444"/>
    <w:rsid w:val="006025A4"/>
    <w:rsid w:val="00602EF3"/>
    <w:rsid w:val="006036FD"/>
    <w:rsid w:val="006049B0"/>
    <w:rsid w:val="00606D81"/>
    <w:rsid w:val="006109F6"/>
    <w:rsid w:val="0061177B"/>
    <w:rsid w:val="006124DB"/>
    <w:rsid w:val="0061276B"/>
    <w:rsid w:val="0061362E"/>
    <w:rsid w:val="00615341"/>
    <w:rsid w:val="006160BF"/>
    <w:rsid w:val="0061616D"/>
    <w:rsid w:val="006163AE"/>
    <w:rsid w:val="0061657E"/>
    <w:rsid w:val="00616ADA"/>
    <w:rsid w:val="006175A7"/>
    <w:rsid w:val="00617A09"/>
    <w:rsid w:val="0062103E"/>
    <w:rsid w:val="006220FA"/>
    <w:rsid w:val="006239C7"/>
    <w:rsid w:val="00623BE6"/>
    <w:rsid w:val="0062454B"/>
    <w:rsid w:val="006252C6"/>
    <w:rsid w:val="0062576C"/>
    <w:rsid w:val="00626033"/>
    <w:rsid w:val="00630505"/>
    <w:rsid w:val="00630922"/>
    <w:rsid w:val="00630E11"/>
    <w:rsid w:val="00631143"/>
    <w:rsid w:val="00631459"/>
    <w:rsid w:val="00631C17"/>
    <w:rsid w:val="0063248E"/>
    <w:rsid w:val="006324CB"/>
    <w:rsid w:val="00632CF0"/>
    <w:rsid w:val="00632E7D"/>
    <w:rsid w:val="006331B0"/>
    <w:rsid w:val="0063415D"/>
    <w:rsid w:val="00634539"/>
    <w:rsid w:val="006345B2"/>
    <w:rsid w:val="006360DB"/>
    <w:rsid w:val="00636B85"/>
    <w:rsid w:val="006375CA"/>
    <w:rsid w:val="00640A8E"/>
    <w:rsid w:val="00643DC9"/>
    <w:rsid w:val="006460B8"/>
    <w:rsid w:val="0064646B"/>
    <w:rsid w:val="006479EF"/>
    <w:rsid w:val="006514A3"/>
    <w:rsid w:val="006529AA"/>
    <w:rsid w:val="00654707"/>
    <w:rsid w:val="0065591D"/>
    <w:rsid w:val="00656EBE"/>
    <w:rsid w:val="0066010E"/>
    <w:rsid w:val="00660D00"/>
    <w:rsid w:val="006622B8"/>
    <w:rsid w:val="00664D23"/>
    <w:rsid w:val="0066658E"/>
    <w:rsid w:val="006668D8"/>
    <w:rsid w:val="00666D5A"/>
    <w:rsid w:val="006672E3"/>
    <w:rsid w:val="00667656"/>
    <w:rsid w:val="00670051"/>
    <w:rsid w:val="00670523"/>
    <w:rsid w:val="00670587"/>
    <w:rsid w:val="00672D7A"/>
    <w:rsid w:val="00672E10"/>
    <w:rsid w:val="0067419C"/>
    <w:rsid w:val="006746E3"/>
    <w:rsid w:val="00675794"/>
    <w:rsid w:val="006765F9"/>
    <w:rsid w:val="006779EA"/>
    <w:rsid w:val="00680333"/>
    <w:rsid w:val="00680E08"/>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45C6"/>
    <w:rsid w:val="00695011"/>
    <w:rsid w:val="00696E76"/>
    <w:rsid w:val="00697198"/>
    <w:rsid w:val="00697AE2"/>
    <w:rsid w:val="006A01D7"/>
    <w:rsid w:val="006A424B"/>
    <w:rsid w:val="006A6EF2"/>
    <w:rsid w:val="006A7B6C"/>
    <w:rsid w:val="006B16CD"/>
    <w:rsid w:val="006B22CB"/>
    <w:rsid w:val="006B2C36"/>
    <w:rsid w:val="006B4C20"/>
    <w:rsid w:val="006B5FC7"/>
    <w:rsid w:val="006B664F"/>
    <w:rsid w:val="006B72DC"/>
    <w:rsid w:val="006C0489"/>
    <w:rsid w:val="006C0DF1"/>
    <w:rsid w:val="006C19FF"/>
    <w:rsid w:val="006C4152"/>
    <w:rsid w:val="006C4B0D"/>
    <w:rsid w:val="006C5C95"/>
    <w:rsid w:val="006C70ED"/>
    <w:rsid w:val="006D045D"/>
    <w:rsid w:val="006D05F8"/>
    <w:rsid w:val="006D219A"/>
    <w:rsid w:val="006D2FCF"/>
    <w:rsid w:val="006D3126"/>
    <w:rsid w:val="006D3370"/>
    <w:rsid w:val="006D3407"/>
    <w:rsid w:val="006D34ED"/>
    <w:rsid w:val="006D4322"/>
    <w:rsid w:val="006D44D3"/>
    <w:rsid w:val="006D49F8"/>
    <w:rsid w:val="006D526E"/>
    <w:rsid w:val="006D52C6"/>
    <w:rsid w:val="006D64A8"/>
    <w:rsid w:val="006D68FE"/>
    <w:rsid w:val="006D6EAF"/>
    <w:rsid w:val="006D6F0C"/>
    <w:rsid w:val="006D7FBE"/>
    <w:rsid w:val="006E02C8"/>
    <w:rsid w:val="006E0832"/>
    <w:rsid w:val="006E11C5"/>
    <w:rsid w:val="006E2139"/>
    <w:rsid w:val="006E2E96"/>
    <w:rsid w:val="006E31DC"/>
    <w:rsid w:val="006E3730"/>
    <w:rsid w:val="006E4ADC"/>
    <w:rsid w:val="006E5B1C"/>
    <w:rsid w:val="006E6CC3"/>
    <w:rsid w:val="006F01DD"/>
    <w:rsid w:val="006F10FB"/>
    <w:rsid w:val="006F1799"/>
    <w:rsid w:val="006F1912"/>
    <w:rsid w:val="006F22ED"/>
    <w:rsid w:val="006F2309"/>
    <w:rsid w:val="006F3F20"/>
    <w:rsid w:val="006F4D78"/>
    <w:rsid w:val="006F511E"/>
    <w:rsid w:val="006F5CBA"/>
    <w:rsid w:val="006F5D72"/>
    <w:rsid w:val="00700807"/>
    <w:rsid w:val="00702538"/>
    <w:rsid w:val="007025D9"/>
    <w:rsid w:val="0070329F"/>
    <w:rsid w:val="0070369D"/>
    <w:rsid w:val="00704431"/>
    <w:rsid w:val="007052B7"/>
    <w:rsid w:val="00705A09"/>
    <w:rsid w:val="00710360"/>
    <w:rsid w:val="0071267B"/>
    <w:rsid w:val="00714CC3"/>
    <w:rsid w:val="00716505"/>
    <w:rsid w:val="00717AC4"/>
    <w:rsid w:val="0072002A"/>
    <w:rsid w:val="0072015A"/>
    <w:rsid w:val="00720230"/>
    <w:rsid w:val="00720865"/>
    <w:rsid w:val="00723121"/>
    <w:rsid w:val="007232E0"/>
    <w:rsid w:val="007249B2"/>
    <w:rsid w:val="00724A9A"/>
    <w:rsid w:val="00725BBB"/>
    <w:rsid w:val="007270F4"/>
    <w:rsid w:val="00731276"/>
    <w:rsid w:val="007324F0"/>
    <w:rsid w:val="00733729"/>
    <w:rsid w:val="00733D36"/>
    <w:rsid w:val="007340FB"/>
    <w:rsid w:val="0073610E"/>
    <w:rsid w:val="00737B21"/>
    <w:rsid w:val="007408CB"/>
    <w:rsid w:val="00740F2A"/>
    <w:rsid w:val="0074312B"/>
    <w:rsid w:val="007443F6"/>
    <w:rsid w:val="007453B6"/>
    <w:rsid w:val="007458FA"/>
    <w:rsid w:val="007467DE"/>
    <w:rsid w:val="00747710"/>
    <w:rsid w:val="00747E84"/>
    <w:rsid w:val="00750ADF"/>
    <w:rsid w:val="00753357"/>
    <w:rsid w:val="00755256"/>
    <w:rsid w:val="007552CC"/>
    <w:rsid w:val="00755907"/>
    <w:rsid w:val="007562DA"/>
    <w:rsid w:val="0075756B"/>
    <w:rsid w:val="00757C70"/>
    <w:rsid w:val="00757C9E"/>
    <w:rsid w:val="0076059A"/>
    <w:rsid w:val="00761E0E"/>
    <w:rsid w:val="007627D2"/>
    <w:rsid w:val="00762C7C"/>
    <w:rsid w:val="00762EE9"/>
    <w:rsid w:val="00762FBE"/>
    <w:rsid w:val="007634A9"/>
    <w:rsid w:val="0076356B"/>
    <w:rsid w:val="007651EA"/>
    <w:rsid w:val="007664E4"/>
    <w:rsid w:val="00766A7A"/>
    <w:rsid w:val="00770799"/>
    <w:rsid w:val="0077108B"/>
    <w:rsid w:val="00771BAB"/>
    <w:rsid w:val="00771C54"/>
    <w:rsid w:val="007740BD"/>
    <w:rsid w:val="007747BE"/>
    <w:rsid w:val="00775886"/>
    <w:rsid w:val="007768DF"/>
    <w:rsid w:val="007768FB"/>
    <w:rsid w:val="00776F99"/>
    <w:rsid w:val="00777C67"/>
    <w:rsid w:val="007802AD"/>
    <w:rsid w:val="0078047F"/>
    <w:rsid w:val="00780E29"/>
    <w:rsid w:val="00781203"/>
    <w:rsid w:val="00781312"/>
    <w:rsid w:val="00781BBB"/>
    <w:rsid w:val="00781F73"/>
    <w:rsid w:val="00782563"/>
    <w:rsid w:val="00782FF3"/>
    <w:rsid w:val="00783189"/>
    <w:rsid w:val="007845E1"/>
    <w:rsid w:val="00784ACA"/>
    <w:rsid w:val="00784C55"/>
    <w:rsid w:val="00785927"/>
    <w:rsid w:val="00785982"/>
    <w:rsid w:val="00785B2E"/>
    <w:rsid w:val="00787686"/>
    <w:rsid w:val="00787E50"/>
    <w:rsid w:val="0079063F"/>
    <w:rsid w:val="00793D9F"/>
    <w:rsid w:val="0079541E"/>
    <w:rsid w:val="00795EF2"/>
    <w:rsid w:val="007968B8"/>
    <w:rsid w:val="00796B1B"/>
    <w:rsid w:val="007A0B2C"/>
    <w:rsid w:val="007A0FEC"/>
    <w:rsid w:val="007A12C9"/>
    <w:rsid w:val="007A17BB"/>
    <w:rsid w:val="007A272C"/>
    <w:rsid w:val="007A2B3E"/>
    <w:rsid w:val="007A2EE6"/>
    <w:rsid w:val="007A3F84"/>
    <w:rsid w:val="007A584C"/>
    <w:rsid w:val="007A6EEF"/>
    <w:rsid w:val="007A71AC"/>
    <w:rsid w:val="007A7AF1"/>
    <w:rsid w:val="007B18D0"/>
    <w:rsid w:val="007B1F3E"/>
    <w:rsid w:val="007B21AB"/>
    <w:rsid w:val="007B2E9D"/>
    <w:rsid w:val="007B5E8E"/>
    <w:rsid w:val="007B6843"/>
    <w:rsid w:val="007C0A36"/>
    <w:rsid w:val="007C0B6B"/>
    <w:rsid w:val="007C0D75"/>
    <w:rsid w:val="007C126B"/>
    <w:rsid w:val="007C13B8"/>
    <w:rsid w:val="007C2617"/>
    <w:rsid w:val="007C2FE3"/>
    <w:rsid w:val="007C3072"/>
    <w:rsid w:val="007C38C6"/>
    <w:rsid w:val="007C4D6B"/>
    <w:rsid w:val="007C4FEE"/>
    <w:rsid w:val="007C68B5"/>
    <w:rsid w:val="007C75A7"/>
    <w:rsid w:val="007C79A2"/>
    <w:rsid w:val="007D1457"/>
    <w:rsid w:val="007D1D5D"/>
    <w:rsid w:val="007D2511"/>
    <w:rsid w:val="007D354A"/>
    <w:rsid w:val="007D41D8"/>
    <w:rsid w:val="007D4FDA"/>
    <w:rsid w:val="007D5AD8"/>
    <w:rsid w:val="007D6269"/>
    <w:rsid w:val="007D62F3"/>
    <w:rsid w:val="007D6425"/>
    <w:rsid w:val="007D7696"/>
    <w:rsid w:val="007E01D5"/>
    <w:rsid w:val="007E0705"/>
    <w:rsid w:val="007E120E"/>
    <w:rsid w:val="007E48CF"/>
    <w:rsid w:val="007E4AF5"/>
    <w:rsid w:val="007F00FF"/>
    <w:rsid w:val="007F035B"/>
    <w:rsid w:val="007F1946"/>
    <w:rsid w:val="007F2D88"/>
    <w:rsid w:val="007F31B2"/>
    <w:rsid w:val="007F34B6"/>
    <w:rsid w:val="007F352D"/>
    <w:rsid w:val="007F446E"/>
    <w:rsid w:val="007F497E"/>
    <w:rsid w:val="007F549E"/>
    <w:rsid w:val="007F5C0F"/>
    <w:rsid w:val="007F607A"/>
    <w:rsid w:val="007F6FB1"/>
    <w:rsid w:val="007F71DF"/>
    <w:rsid w:val="0080076A"/>
    <w:rsid w:val="00801EB3"/>
    <w:rsid w:val="00803052"/>
    <w:rsid w:val="008033C2"/>
    <w:rsid w:val="0080342B"/>
    <w:rsid w:val="00803AF3"/>
    <w:rsid w:val="00803DB8"/>
    <w:rsid w:val="00804AA4"/>
    <w:rsid w:val="00805FBE"/>
    <w:rsid w:val="00806A19"/>
    <w:rsid w:val="00806A3A"/>
    <w:rsid w:val="00810570"/>
    <w:rsid w:val="00810756"/>
    <w:rsid w:val="00812232"/>
    <w:rsid w:val="00812AA1"/>
    <w:rsid w:val="008131FA"/>
    <w:rsid w:val="008133C0"/>
    <w:rsid w:val="00814634"/>
    <w:rsid w:val="00814A3A"/>
    <w:rsid w:val="00815A3E"/>
    <w:rsid w:val="00815C9B"/>
    <w:rsid w:val="008164E8"/>
    <w:rsid w:val="008177EE"/>
    <w:rsid w:val="00820BED"/>
    <w:rsid w:val="00821692"/>
    <w:rsid w:val="00821B54"/>
    <w:rsid w:val="00822091"/>
    <w:rsid w:val="00822725"/>
    <w:rsid w:val="00822A6D"/>
    <w:rsid w:val="00823311"/>
    <w:rsid w:val="00823C69"/>
    <w:rsid w:val="008246E3"/>
    <w:rsid w:val="008259CF"/>
    <w:rsid w:val="00825E35"/>
    <w:rsid w:val="0082711E"/>
    <w:rsid w:val="00827686"/>
    <w:rsid w:val="00827EC4"/>
    <w:rsid w:val="00830CC4"/>
    <w:rsid w:val="0083168B"/>
    <w:rsid w:val="00831D33"/>
    <w:rsid w:val="00831F36"/>
    <w:rsid w:val="00832D88"/>
    <w:rsid w:val="00832F6E"/>
    <w:rsid w:val="0083338D"/>
    <w:rsid w:val="00833722"/>
    <w:rsid w:val="00833FB6"/>
    <w:rsid w:val="00834BC3"/>
    <w:rsid w:val="00835A5E"/>
    <w:rsid w:val="00842FE7"/>
    <w:rsid w:val="00844277"/>
    <w:rsid w:val="00844434"/>
    <w:rsid w:val="008444AB"/>
    <w:rsid w:val="00844F3B"/>
    <w:rsid w:val="008455EF"/>
    <w:rsid w:val="00845891"/>
    <w:rsid w:val="008465D9"/>
    <w:rsid w:val="0084695A"/>
    <w:rsid w:val="00850E16"/>
    <w:rsid w:val="00852018"/>
    <w:rsid w:val="00852218"/>
    <w:rsid w:val="00852226"/>
    <w:rsid w:val="008543E8"/>
    <w:rsid w:val="00856121"/>
    <w:rsid w:val="00860AF0"/>
    <w:rsid w:val="008618B2"/>
    <w:rsid w:val="008618F9"/>
    <w:rsid w:val="008626CE"/>
    <w:rsid w:val="00862760"/>
    <w:rsid w:val="00864C5D"/>
    <w:rsid w:val="008655B1"/>
    <w:rsid w:val="00867A25"/>
    <w:rsid w:val="008700BA"/>
    <w:rsid w:val="00870975"/>
    <w:rsid w:val="0087243E"/>
    <w:rsid w:val="00873666"/>
    <w:rsid w:val="0087426E"/>
    <w:rsid w:val="00874736"/>
    <w:rsid w:val="008748B4"/>
    <w:rsid w:val="008751F6"/>
    <w:rsid w:val="00875CD5"/>
    <w:rsid w:val="00876854"/>
    <w:rsid w:val="00876986"/>
    <w:rsid w:val="008769F5"/>
    <w:rsid w:val="008804BC"/>
    <w:rsid w:val="00880D1A"/>
    <w:rsid w:val="00880D91"/>
    <w:rsid w:val="00881852"/>
    <w:rsid w:val="00881D81"/>
    <w:rsid w:val="00881E2C"/>
    <w:rsid w:val="00882F2B"/>
    <w:rsid w:val="00883566"/>
    <w:rsid w:val="008849FF"/>
    <w:rsid w:val="00884ED9"/>
    <w:rsid w:val="008859AC"/>
    <w:rsid w:val="008869C8"/>
    <w:rsid w:val="00886AC3"/>
    <w:rsid w:val="00892D3A"/>
    <w:rsid w:val="00896574"/>
    <w:rsid w:val="008979C1"/>
    <w:rsid w:val="008A0025"/>
    <w:rsid w:val="008A1EFB"/>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6B71"/>
    <w:rsid w:val="008B7B38"/>
    <w:rsid w:val="008C0158"/>
    <w:rsid w:val="008C174F"/>
    <w:rsid w:val="008C3F3A"/>
    <w:rsid w:val="008C4902"/>
    <w:rsid w:val="008C5042"/>
    <w:rsid w:val="008C544B"/>
    <w:rsid w:val="008D1581"/>
    <w:rsid w:val="008D1BAD"/>
    <w:rsid w:val="008D1C55"/>
    <w:rsid w:val="008D3107"/>
    <w:rsid w:val="008D33E2"/>
    <w:rsid w:val="008D4019"/>
    <w:rsid w:val="008D51F3"/>
    <w:rsid w:val="008E051D"/>
    <w:rsid w:val="008E0F34"/>
    <w:rsid w:val="008E1E03"/>
    <w:rsid w:val="008E1EDF"/>
    <w:rsid w:val="008E2B3B"/>
    <w:rsid w:val="008E4054"/>
    <w:rsid w:val="008E4A0D"/>
    <w:rsid w:val="008E7142"/>
    <w:rsid w:val="008F093F"/>
    <w:rsid w:val="008F1B64"/>
    <w:rsid w:val="008F2A12"/>
    <w:rsid w:val="008F431C"/>
    <w:rsid w:val="008F43B7"/>
    <w:rsid w:val="008F4901"/>
    <w:rsid w:val="008F5289"/>
    <w:rsid w:val="008F5430"/>
    <w:rsid w:val="008F6AD8"/>
    <w:rsid w:val="008F79E8"/>
    <w:rsid w:val="0090108A"/>
    <w:rsid w:val="00901219"/>
    <w:rsid w:val="00901BA6"/>
    <w:rsid w:val="009042CC"/>
    <w:rsid w:val="00904571"/>
    <w:rsid w:val="00906134"/>
    <w:rsid w:val="00907160"/>
    <w:rsid w:val="009076A8"/>
    <w:rsid w:val="00907EF2"/>
    <w:rsid w:val="00910D95"/>
    <w:rsid w:val="009127A4"/>
    <w:rsid w:val="00912AE9"/>
    <w:rsid w:val="00913D5F"/>
    <w:rsid w:val="00914A3B"/>
    <w:rsid w:val="009159B2"/>
    <w:rsid w:val="0091695C"/>
    <w:rsid w:val="00916A3B"/>
    <w:rsid w:val="009179D3"/>
    <w:rsid w:val="00917B96"/>
    <w:rsid w:val="00920BBD"/>
    <w:rsid w:val="00921D13"/>
    <w:rsid w:val="00925876"/>
    <w:rsid w:val="0092646E"/>
    <w:rsid w:val="00930E2E"/>
    <w:rsid w:val="009310B5"/>
    <w:rsid w:val="00931611"/>
    <w:rsid w:val="009329AE"/>
    <w:rsid w:val="00933C53"/>
    <w:rsid w:val="00934C83"/>
    <w:rsid w:val="0093689E"/>
    <w:rsid w:val="009369AE"/>
    <w:rsid w:val="0094439D"/>
    <w:rsid w:val="00944AFA"/>
    <w:rsid w:val="00945650"/>
    <w:rsid w:val="00945FE2"/>
    <w:rsid w:val="0094621D"/>
    <w:rsid w:val="00950727"/>
    <w:rsid w:val="009508E4"/>
    <w:rsid w:val="00951FDB"/>
    <w:rsid w:val="00952036"/>
    <w:rsid w:val="009522DA"/>
    <w:rsid w:val="00953E02"/>
    <w:rsid w:val="00954323"/>
    <w:rsid w:val="00954BC2"/>
    <w:rsid w:val="009567B8"/>
    <w:rsid w:val="00957E7E"/>
    <w:rsid w:val="00960D34"/>
    <w:rsid w:val="009611D2"/>
    <w:rsid w:val="0096202E"/>
    <w:rsid w:val="009621A0"/>
    <w:rsid w:val="00962BC2"/>
    <w:rsid w:val="00963D5E"/>
    <w:rsid w:val="00964224"/>
    <w:rsid w:val="0096696A"/>
    <w:rsid w:val="00967201"/>
    <w:rsid w:val="0096765B"/>
    <w:rsid w:val="00967C74"/>
    <w:rsid w:val="00971FDA"/>
    <w:rsid w:val="009722A8"/>
    <w:rsid w:val="00972548"/>
    <w:rsid w:val="009728FF"/>
    <w:rsid w:val="00974888"/>
    <w:rsid w:val="00974B47"/>
    <w:rsid w:val="00974D53"/>
    <w:rsid w:val="00974D5D"/>
    <w:rsid w:val="00975315"/>
    <w:rsid w:val="009760C4"/>
    <w:rsid w:val="00976E27"/>
    <w:rsid w:val="00977239"/>
    <w:rsid w:val="009772A5"/>
    <w:rsid w:val="00977550"/>
    <w:rsid w:val="00980B5D"/>
    <w:rsid w:val="00981173"/>
    <w:rsid w:val="00981A75"/>
    <w:rsid w:val="00981F83"/>
    <w:rsid w:val="009841A8"/>
    <w:rsid w:val="00985184"/>
    <w:rsid w:val="009868BE"/>
    <w:rsid w:val="00986B64"/>
    <w:rsid w:val="00986C3F"/>
    <w:rsid w:val="00986EFA"/>
    <w:rsid w:val="009876A4"/>
    <w:rsid w:val="009917E9"/>
    <w:rsid w:val="00992371"/>
    <w:rsid w:val="00992416"/>
    <w:rsid w:val="00993789"/>
    <w:rsid w:val="0099408E"/>
    <w:rsid w:val="00994B4C"/>
    <w:rsid w:val="00994F61"/>
    <w:rsid w:val="00996057"/>
    <w:rsid w:val="00996394"/>
    <w:rsid w:val="00996C89"/>
    <w:rsid w:val="00996CB7"/>
    <w:rsid w:val="009979B9"/>
    <w:rsid w:val="009A03C7"/>
    <w:rsid w:val="009A0703"/>
    <w:rsid w:val="009A1399"/>
    <w:rsid w:val="009A22FD"/>
    <w:rsid w:val="009A2ED6"/>
    <w:rsid w:val="009A31E7"/>
    <w:rsid w:val="009A546A"/>
    <w:rsid w:val="009A621C"/>
    <w:rsid w:val="009A6677"/>
    <w:rsid w:val="009A6C66"/>
    <w:rsid w:val="009A6EF9"/>
    <w:rsid w:val="009A7BBC"/>
    <w:rsid w:val="009B2A11"/>
    <w:rsid w:val="009B5581"/>
    <w:rsid w:val="009B5940"/>
    <w:rsid w:val="009B63ED"/>
    <w:rsid w:val="009B710D"/>
    <w:rsid w:val="009C3862"/>
    <w:rsid w:val="009C4171"/>
    <w:rsid w:val="009C475C"/>
    <w:rsid w:val="009C5878"/>
    <w:rsid w:val="009C60A5"/>
    <w:rsid w:val="009C70D3"/>
    <w:rsid w:val="009C75C9"/>
    <w:rsid w:val="009D1492"/>
    <w:rsid w:val="009D169E"/>
    <w:rsid w:val="009D17E7"/>
    <w:rsid w:val="009D2602"/>
    <w:rsid w:val="009D3234"/>
    <w:rsid w:val="009D346D"/>
    <w:rsid w:val="009D41B7"/>
    <w:rsid w:val="009D5CA7"/>
    <w:rsid w:val="009D65CD"/>
    <w:rsid w:val="009D6E2E"/>
    <w:rsid w:val="009D7298"/>
    <w:rsid w:val="009E03C7"/>
    <w:rsid w:val="009E12B5"/>
    <w:rsid w:val="009E3C1C"/>
    <w:rsid w:val="009E3F6F"/>
    <w:rsid w:val="009E6ACB"/>
    <w:rsid w:val="009F1043"/>
    <w:rsid w:val="009F2D78"/>
    <w:rsid w:val="009F36CA"/>
    <w:rsid w:val="009F4FE2"/>
    <w:rsid w:val="009F58F9"/>
    <w:rsid w:val="009F6167"/>
    <w:rsid w:val="009F752A"/>
    <w:rsid w:val="00A003BE"/>
    <w:rsid w:val="00A00EE1"/>
    <w:rsid w:val="00A022AB"/>
    <w:rsid w:val="00A02B33"/>
    <w:rsid w:val="00A03435"/>
    <w:rsid w:val="00A03567"/>
    <w:rsid w:val="00A0385F"/>
    <w:rsid w:val="00A0464C"/>
    <w:rsid w:val="00A06C2D"/>
    <w:rsid w:val="00A06D23"/>
    <w:rsid w:val="00A0774D"/>
    <w:rsid w:val="00A079D0"/>
    <w:rsid w:val="00A11132"/>
    <w:rsid w:val="00A11756"/>
    <w:rsid w:val="00A11969"/>
    <w:rsid w:val="00A12DE8"/>
    <w:rsid w:val="00A157B9"/>
    <w:rsid w:val="00A158FB"/>
    <w:rsid w:val="00A1712E"/>
    <w:rsid w:val="00A17F2D"/>
    <w:rsid w:val="00A20667"/>
    <w:rsid w:val="00A22348"/>
    <w:rsid w:val="00A228AB"/>
    <w:rsid w:val="00A22A23"/>
    <w:rsid w:val="00A23E47"/>
    <w:rsid w:val="00A243D6"/>
    <w:rsid w:val="00A24C62"/>
    <w:rsid w:val="00A254EC"/>
    <w:rsid w:val="00A25F51"/>
    <w:rsid w:val="00A26182"/>
    <w:rsid w:val="00A26A75"/>
    <w:rsid w:val="00A30382"/>
    <w:rsid w:val="00A30CEC"/>
    <w:rsid w:val="00A3188E"/>
    <w:rsid w:val="00A32604"/>
    <w:rsid w:val="00A32EF3"/>
    <w:rsid w:val="00A33959"/>
    <w:rsid w:val="00A35312"/>
    <w:rsid w:val="00A354C8"/>
    <w:rsid w:val="00A407E6"/>
    <w:rsid w:val="00A40E00"/>
    <w:rsid w:val="00A417AE"/>
    <w:rsid w:val="00A43345"/>
    <w:rsid w:val="00A447E6"/>
    <w:rsid w:val="00A463E3"/>
    <w:rsid w:val="00A50AD6"/>
    <w:rsid w:val="00A50D0F"/>
    <w:rsid w:val="00A50E2B"/>
    <w:rsid w:val="00A51495"/>
    <w:rsid w:val="00A54097"/>
    <w:rsid w:val="00A54DAA"/>
    <w:rsid w:val="00A57661"/>
    <w:rsid w:val="00A60E34"/>
    <w:rsid w:val="00A62074"/>
    <w:rsid w:val="00A62606"/>
    <w:rsid w:val="00A62EA7"/>
    <w:rsid w:val="00A6459E"/>
    <w:rsid w:val="00A64686"/>
    <w:rsid w:val="00A64CAE"/>
    <w:rsid w:val="00A6578C"/>
    <w:rsid w:val="00A6605D"/>
    <w:rsid w:val="00A6610A"/>
    <w:rsid w:val="00A71A0A"/>
    <w:rsid w:val="00A72227"/>
    <w:rsid w:val="00A72CC1"/>
    <w:rsid w:val="00A73E12"/>
    <w:rsid w:val="00A748F2"/>
    <w:rsid w:val="00A74939"/>
    <w:rsid w:val="00A76AED"/>
    <w:rsid w:val="00A77527"/>
    <w:rsid w:val="00A77B52"/>
    <w:rsid w:val="00A77BE7"/>
    <w:rsid w:val="00A80044"/>
    <w:rsid w:val="00A81845"/>
    <w:rsid w:val="00A81E52"/>
    <w:rsid w:val="00A8271D"/>
    <w:rsid w:val="00A82B34"/>
    <w:rsid w:val="00A83611"/>
    <w:rsid w:val="00A84B21"/>
    <w:rsid w:val="00A8580C"/>
    <w:rsid w:val="00A85A45"/>
    <w:rsid w:val="00A85F3E"/>
    <w:rsid w:val="00A86A92"/>
    <w:rsid w:val="00A86CEB"/>
    <w:rsid w:val="00A90AA5"/>
    <w:rsid w:val="00A912BA"/>
    <w:rsid w:val="00A924F3"/>
    <w:rsid w:val="00A92AF0"/>
    <w:rsid w:val="00A94232"/>
    <w:rsid w:val="00A94369"/>
    <w:rsid w:val="00A944C1"/>
    <w:rsid w:val="00A9490A"/>
    <w:rsid w:val="00A97923"/>
    <w:rsid w:val="00AA0E31"/>
    <w:rsid w:val="00AA150D"/>
    <w:rsid w:val="00AA1803"/>
    <w:rsid w:val="00AA20EA"/>
    <w:rsid w:val="00AA4188"/>
    <w:rsid w:val="00AA446F"/>
    <w:rsid w:val="00AA59A6"/>
    <w:rsid w:val="00AA6DCC"/>
    <w:rsid w:val="00AA739B"/>
    <w:rsid w:val="00AB0D80"/>
    <w:rsid w:val="00AB16D9"/>
    <w:rsid w:val="00AB1BA9"/>
    <w:rsid w:val="00AB1C49"/>
    <w:rsid w:val="00AB1FC8"/>
    <w:rsid w:val="00AB284D"/>
    <w:rsid w:val="00AB2F02"/>
    <w:rsid w:val="00AB304E"/>
    <w:rsid w:val="00AB45C8"/>
    <w:rsid w:val="00AB6C17"/>
    <w:rsid w:val="00AC0A9D"/>
    <w:rsid w:val="00AC0C9E"/>
    <w:rsid w:val="00AC20C0"/>
    <w:rsid w:val="00AC2876"/>
    <w:rsid w:val="00AC3349"/>
    <w:rsid w:val="00AC33C8"/>
    <w:rsid w:val="00AC449A"/>
    <w:rsid w:val="00AC4C13"/>
    <w:rsid w:val="00AC4C74"/>
    <w:rsid w:val="00AC4CD2"/>
    <w:rsid w:val="00AC5D5B"/>
    <w:rsid w:val="00AC7BE1"/>
    <w:rsid w:val="00AD059B"/>
    <w:rsid w:val="00AD102A"/>
    <w:rsid w:val="00AD1502"/>
    <w:rsid w:val="00AD1796"/>
    <w:rsid w:val="00AD1974"/>
    <w:rsid w:val="00AD2353"/>
    <w:rsid w:val="00AD239A"/>
    <w:rsid w:val="00AD26D4"/>
    <w:rsid w:val="00AD3102"/>
    <w:rsid w:val="00AD3EDC"/>
    <w:rsid w:val="00AD4BF1"/>
    <w:rsid w:val="00AD505E"/>
    <w:rsid w:val="00AD5CCC"/>
    <w:rsid w:val="00AD6CC5"/>
    <w:rsid w:val="00AD713A"/>
    <w:rsid w:val="00AD7E0B"/>
    <w:rsid w:val="00AE0E58"/>
    <w:rsid w:val="00AE594A"/>
    <w:rsid w:val="00AF0189"/>
    <w:rsid w:val="00AF061D"/>
    <w:rsid w:val="00AF12CE"/>
    <w:rsid w:val="00AF3FE0"/>
    <w:rsid w:val="00AF45EB"/>
    <w:rsid w:val="00AF4794"/>
    <w:rsid w:val="00AF47D1"/>
    <w:rsid w:val="00AF695E"/>
    <w:rsid w:val="00AF7191"/>
    <w:rsid w:val="00AF7C74"/>
    <w:rsid w:val="00B001EB"/>
    <w:rsid w:val="00B004D7"/>
    <w:rsid w:val="00B00586"/>
    <w:rsid w:val="00B00972"/>
    <w:rsid w:val="00B0098B"/>
    <w:rsid w:val="00B0271B"/>
    <w:rsid w:val="00B041BF"/>
    <w:rsid w:val="00B06B70"/>
    <w:rsid w:val="00B16A33"/>
    <w:rsid w:val="00B17AC0"/>
    <w:rsid w:val="00B17B7B"/>
    <w:rsid w:val="00B17D41"/>
    <w:rsid w:val="00B2099D"/>
    <w:rsid w:val="00B21333"/>
    <w:rsid w:val="00B24AD9"/>
    <w:rsid w:val="00B25959"/>
    <w:rsid w:val="00B267CA"/>
    <w:rsid w:val="00B31655"/>
    <w:rsid w:val="00B32A7C"/>
    <w:rsid w:val="00B3572E"/>
    <w:rsid w:val="00B40734"/>
    <w:rsid w:val="00B40C90"/>
    <w:rsid w:val="00B40EEA"/>
    <w:rsid w:val="00B41FAA"/>
    <w:rsid w:val="00B44EFF"/>
    <w:rsid w:val="00B46F12"/>
    <w:rsid w:val="00B5134D"/>
    <w:rsid w:val="00B516F5"/>
    <w:rsid w:val="00B5413B"/>
    <w:rsid w:val="00B54341"/>
    <w:rsid w:val="00B559F2"/>
    <w:rsid w:val="00B57130"/>
    <w:rsid w:val="00B57816"/>
    <w:rsid w:val="00B57D82"/>
    <w:rsid w:val="00B6087C"/>
    <w:rsid w:val="00B60E4E"/>
    <w:rsid w:val="00B61973"/>
    <w:rsid w:val="00B61ED6"/>
    <w:rsid w:val="00B62576"/>
    <w:rsid w:val="00B62E41"/>
    <w:rsid w:val="00B632A5"/>
    <w:rsid w:val="00B6403E"/>
    <w:rsid w:val="00B65E5A"/>
    <w:rsid w:val="00B66C2A"/>
    <w:rsid w:val="00B6741C"/>
    <w:rsid w:val="00B70AD6"/>
    <w:rsid w:val="00B710C6"/>
    <w:rsid w:val="00B71940"/>
    <w:rsid w:val="00B72D36"/>
    <w:rsid w:val="00B73342"/>
    <w:rsid w:val="00B735E5"/>
    <w:rsid w:val="00B743E8"/>
    <w:rsid w:val="00B75FEC"/>
    <w:rsid w:val="00B76239"/>
    <w:rsid w:val="00B775F5"/>
    <w:rsid w:val="00B808E4"/>
    <w:rsid w:val="00B810C9"/>
    <w:rsid w:val="00B81A7D"/>
    <w:rsid w:val="00B823A3"/>
    <w:rsid w:val="00B83729"/>
    <w:rsid w:val="00B839FB"/>
    <w:rsid w:val="00B83DFF"/>
    <w:rsid w:val="00B84A9F"/>
    <w:rsid w:val="00B85C12"/>
    <w:rsid w:val="00B8620B"/>
    <w:rsid w:val="00B909F2"/>
    <w:rsid w:val="00B928DE"/>
    <w:rsid w:val="00B92912"/>
    <w:rsid w:val="00B92BEA"/>
    <w:rsid w:val="00B95605"/>
    <w:rsid w:val="00B968AA"/>
    <w:rsid w:val="00B96B6A"/>
    <w:rsid w:val="00BA0943"/>
    <w:rsid w:val="00BA0C81"/>
    <w:rsid w:val="00BA1F04"/>
    <w:rsid w:val="00BA21E1"/>
    <w:rsid w:val="00BA23ED"/>
    <w:rsid w:val="00BA423F"/>
    <w:rsid w:val="00BA64E8"/>
    <w:rsid w:val="00BA6512"/>
    <w:rsid w:val="00BA6C65"/>
    <w:rsid w:val="00BA75BB"/>
    <w:rsid w:val="00BA7CD8"/>
    <w:rsid w:val="00BB0343"/>
    <w:rsid w:val="00BB09F8"/>
    <w:rsid w:val="00BB0DDB"/>
    <w:rsid w:val="00BB1088"/>
    <w:rsid w:val="00BB235B"/>
    <w:rsid w:val="00BB27EB"/>
    <w:rsid w:val="00BB344E"/>
    <w:rsid w:val="00BB3CBD"/>
    <w:rsid w:val="00BB458D"/>
    <w:rsid w:val="00BB5CDE"/>
    <w:rsid w:val="00BB6000"/>
    <w:rsid w:val="00BB600D"/>
    <w:rsid w:val="00BB72F4"/>
    <w:rsid w:val="00BB7D5B"/>
    <w:rsid w:val="00BC098A"/>
    <w:rsid w:val="00BC0BB3"/>
    <w:rsid w:val="00BC0E8D"/>
    <w:rsid w:val="00BC10BC"/>
    <w:rsid w:val="00BC17C3"/>
    <w:rsid w:val="00BC23FB"/>
    <w:rsid w:val="00BC2458"/>
    <w:rsid w:val="00BC31DF"/>
    <w:rsid w:val="00BC6254"/>
    <w:rsid w:val="00BC7CB3"/>
    <w:rsid w:val="00BD0358"/>
    <w:rsid w:val="00BD05FC"/>
    <w:rsid w:val="00BD2B8D"/>
    <w:rsid w:val="00BD3834"/>
    <w:rsid w:val="00BD5923"/>
    <w:rsid w:val="00BD6750"/>
    <w:rsid w:val="00BD7018"/>
    <w:rsid w:val="00BD7A6B"/>
    <w:rsid w:val="00BD7D58"/>
    <w:rsid w:val="00BD7DD0"/>
    <w:rsid w:val="00BE0493"/>
    <w:rsid w:val="00BE30FF"/>
    <w:rsid w:val="00BE3AA7"/>
    <w:rsid w:val="00BE5FE6"/>
    <w:rsid w:val="00BF2F07"/>
    <w:rsid w:val="00BF4442"/>
    <w:rsid w:val="00BF487A"/>
    <w:rsid w:val="00BF5642"/>
    <w:rsid w:val="00BF640F"/>
    <w:rsid w:val="00BF7129"/>
    <w:rsid w:val="00BF75BA"/>
    <w:rsid w:val="00C033E7"/>
    <w:rsid w:val="00C04166"/>
    <w:rsid w:val="00C07DF4"/>
    <w:rsid w:val="00C10836"/>
    <w:rsid w:val="00C11FD0"/>
    <w:rsid w:val="00C122BA"/>
    <w:rsid w:val="00C12986"/>
    <w:rsid w:val="00C12D78"/>
    <w:rsid w:val="00C14885"/>
    <w:rsid w:val="00C15234"/>
    <w:rsid w:val="00C15A52"/>
    <w:rsid w:val="00C15E83"/>
    <w:rsid w:val="00C1632D"/>
    <w:rsid w:val="00C170C0"/>
    <w:rsid w:val="00C17DE9"/>
    <w:rsid w:val="00C204A6"/>
    <w:rsid w:val="00C2197D"/>
    <w:rsid w:val="00C22DAC"/>
    <w:rsid w:val="00C2352A"/>
    <w:rsid w:val="00C23BD1"/>
    <w:rsid w:val="00C300E4"/>
    <w:rsid w:val="00C303A9"/>
    <w:rsid w:val="00C303F0"/>
    <w:rsid w:val="00C306A7"/>
    <w:rsid w:val="00C30CD3"/>
    <w:rsid w:val="00C310C0"/>
    <w:rsid w:val="00C31569"/>
    <w:rsid w:val="00C31905"/>
    <w:rsid w:val="00C31AF7"/>
    <w:rsid w:val="00C33CFA"/>
    <w:rsid w:val="00C344E9"/>
    <w:rsid w:val="00C35F90"/>
    <w:rsid w:val="00C36BFD"/>
    <w:rsid w:val="00C3751B"/>
    <w:rsid w:val="00C37C60"/>
    <w:rsid w:val="00C42588"/>
    <w:rsid w:val="00C443EA"/>
    <w:rsid w:val="00C449C8"/>
    <w:rsid w:val="00C451D8"/>
    <w:rsid w:val="00C4636A"/>
    <w:rsid w:val="00C4663F"/>
    <w:rsid w:val="00C47BE9"/>
    <w:rsid w:val="00C51EEC"/>
    <w:rsid w:val="00C5303D"/>
    <w:rsid w:val="00C53328"/>
    <w:rsid w:val="00C53BC4"/>
    <w:rsid w:val="00C54699"/>
    <w:rsid w:val="00C55A51"/>
    <w:rsid w:val="00C55A71"/>
    <w:rsid w:val="00C57546"/>
    <w:rsid w:val="00C608B8"/>
    <w:rsid w:val="00C610FD"/>
    <w:rsid w:val="00C616F5"/>
    <w:rsid w:val="00C632AD"/>
    <w:rsid w:val="00C6348B"/>
    <w:rsid w:val="00C63620"/>
    <w:rsid w:val="00C66BC5"/>
    <w:rsid w:val="00C67434"/>
    <w:rsid w:val="00C70077"/>
    <w:rsid w:val="00C704AA"/>
    <w:rsid w:val="00C71652"/>
    <w:rsid w:val="00C7184D"/>
    <w:rsid w:val="00C72DC0"/>
    <w:rsid w:val="00C76AC4"/>
    <w:rsid w:val="00C779B2"/>
    <w:rsid w:val="00C77F54"/>
    <w:rsid w:val="00C80798"/>
    <w:rsid w:val="00C818BD"/>
    <w:rsid w:val="00C81B55"/>
    <w:rsid w:val="00C822E1"/>
    <w:rsid w:val="00C82687"/>
    <w:rsid w:val="00C82A5B"/>
    <w:rsid w:val="00C83508"/>
    <w:rsid w:val="00C84DE1"/>
    <w:rsid w:val="00C8517B"/>
    <w:rsid w:val="00C85CAB"/>
    <w:rsid w:val="00C85F05"/>
    <w:rsid w:val="00C865A9"/>
    <w:rsid w:val="00C872A0"/>
    <w:rsid w:val="00C90EE5"/>
    <w:rsid w:val="00C92E15"/>
    <w:rsid w:val="00C93677"/>
    <w:rsid w:val="00C94FA3"/>
    <w:rsid w:val="00C9589E"/>
    <w:rsid w:val="00C95F1F"/>
    <w:rsid w:val="00C95FC8"/>
    <w:rsid w:val="00C97809"/>
    <w:rsid w:val="00C97DDC"/>
    <w:rsid w:val="00CA1905"/>
    <w:rsid w:val="00CA2E36"/>
    <w:rsid w:val="00CA396C"/>
    <w:rsid w:val="00CA3D17"/>
    <w:rsid w:val="00CA5380"/>
    <w:rsid w:val="00CA53DD"/>
    <w:rsid w:val="00CA74AC"/>
    <w:rsid w:val="00CB04A3"/>
    <w:rsid w:val="00CB0B25"/>
    <w:rsid w:val="00CB112A"/>
    <w:rsid w:val="00CB1B3B"/>
    <w:rsid w:val="00CB28CD"/>
    <w:rsid w:val="00CB5257"/>
    <w:rsid w:val="00CB52E3"/>
    <w:rsid w:val="00CB540B"/>
    <w:rsid w:val="00CB768F"/>
    <w:rsid w:val="00CC014E"/>
    <w:rsid w:val="00CC0409"/>
    <w:rsid w:val="00CC1054"/>
    <w:rsid w:val="00CC22A8"/>
    <w:rsid w:val="00CC4104"/>
    <w:rsid w:val="00CC5ABD"/>
    <w:rsid w:val="00CC665E"/>
    <w:rsid w:val="00CC6E87"/>
    <w:rsid w:val="00CC79E0"/>
    <w:rsid w:val="00CD059B"/>
    <w:rsid w:val="00CD0FE9"/>
    <w:rsid w:val="00CD1748"/>
    <w:rsid w:val="00CD251B"/>
    <w:rsid w:val="00CD25B8"/>
    <w:rsid w:val="00CD5E06"/>
    <w:rsid w:val="00CD670F"/>
    <w:rsid w:val="00CD75E4"/>
    <w:rsid w:val="00CE007C"/>
    <w:rsid w:val="00CE0290"/>
    <w:rsid w:val="00CE0BF0"/>
    <w:rsid w:val="00CE0EF4"/>
    <w:rsid w:val="00CE0FA9"/>
    <w:rsid w:val="00CE1258"/>
    <w:rsid w:val="00CE2BEB"/>
    <w:rsid w:val="00CE3842"/>
    <w:rsid w:val="00CE4735"/>
    <w:rsid w:val="00CE4800"/>
    <w:rsid w:val="00CE51EE"/>
    <w:rsid w:val="00CE57AA"/>
    <w:rsid w:val="00CE7F54"/>
    <w:rsid w:val="00CF0BB6"/>
    <w:rsid w:val="00CF1468"/>
    <w:rsid w:val="00CF2BA3"/>
    <w:rsid w:val="00CF3423"/>
    <w:rsid w:val="00CF4C38"/>
    <w:rsid w:val="00D00330"/>
    <w:rsid w:val="00D0089D"/>
    <w:rsid w:val="00D00FD6"/>
    <w:rsid w:val="00D012B0"/>
    <w:rsid w:val="00D027E6"/>
    <w:rsid w:val="00D02E83"/>
    <w:rsid w:val="00D03079"/>
    <w:rsid w:val="00D03616"/>
    <w:rsid w:val="00D03F7E"/>
    <w:rsid w:val="00D04E4F"/>
    <w:rsid w:val="00D05841"/>
    <w:rsid w:val="00D05C27"/>
    <w:rsid w:val="00D05D30"/>
    <w:rsid w:val="00D05F8E"/>
    <w:rsid w:val="00D07BB7"/>
    <w:rsid w:val="00D10BDF"/>
    <w:rsid w:val="00D110CF"/>
    <w:rsid w:val="00D1186B"/>
    <w:rsid w:val="00D11C10"/>
    <w:rsid w:val="00D12DCB"/>
    <w:rsid w:val="00D132FA"/>
    <w:rsid w:val="00D144D9"/>
    <w:rsid w:val="00D1582D"/>
    <w:rsid w:val="00D15D33"/>
    <w:rsid w:val="00D1749C"/>
    <w:rsid w:val="00D202A1"/>
    <w:rsid w:val="00D20CE3"/>
    <w:rsid w:val="00D214C1"/>
    <w:rsid w:val="00D228CE"/>
    <w:rsid w:val="00D23477"/>
    <w:rsid w:val="00D23754"/>
    <w:rsid w:val="00D24728"/>
    <w:rsid w:val="00D248D5"/>
    <w:rsid w:val="00D25027"/>
    <w:rsid w:val="00D254BA"/>
    <w:rsid w:val="00D256CC"/>
    <w:rsid w:val="00D2585B"/>
    <w:rsid w:val="00D305E7"/>
    <w:rsid w:val="00D31519"/>
    <w:rsid w:val="00D31E7C"/>
    <w:rsid w:val="00D32C28"/>
    <w:rsid w:val="00D3428F"/>
    <w:rsid w:val="00D3493F"/>
    <w:rsid w:val="00D34D18"/>
    <w:rsid w:val="00D35071"/>
    <w:rsid w:val="00D35793"/>
    <w:rsid w:val="00D36301"/>
    <w:rsid w:val="00D36FCA"/>
    <w:rsid w:val="00D37B8F"/>
    <w:rsid w:val="00D37D8A"/>
    <w:rsid w:val="00D4050C"/>
    <w:rsid w:val="00D40574"/>
    <w:rsid w:val="00D41A52"/>
    <w:rsid w:val="00D41B13"/>
    <w:rsid w:val="00D44789"/>
    <w:rsid w:val="00D46800"/>
    <w:rsid w:val="00D46B35"/>
    <w:rsid w:val="00D46C7E"/>
    <w:rsid w:val="00D46D6E"/>
    <w:rsid w:val="00D4786B"/>
    <w:rsid w:val="00D50B41"/>
    <w:rsid w:val="00D50E0E"/>
    <w:rsid w:val="00D51662"/>
    <w:rsid w:val="00D519B7"/>
    <w:rsid w:val="00D51D7E"/>
    <w:rsid w:val="00D54C49"/>
    <w:rsid w:val="00D55598"/>
    <w:rsid w:val="00D557BF"/>
    <w:rsid w:val="00D56517"/>
    <w:rsid w:val="00D571B4"/>
    <w:rsid w:val="00D57D79"/>
    <w:rsid w:val="00D60C9C"/>
    <w:rsid w:val="00D6289E"/>
    <w:rsid w:val="00D6337A"/>
    <w:rsid w:val="00D63C8B"/>
    <w:rsid w:val="00D63CFD"/>
    <w:rsid w:val="00D641D6"/>
    <w:rsid w:val="00D65888"/>
    <w:rsid w:val="00D66301"/>
    <w:rsid w:val="00D66E25"/>
    <w:rsid w:val="00D701DD"/>
    <w:rsid w:val="00D70B1F"/>
    <w:rsid w:val="00D717AD"/>
    <w:rsid w:val="00D72659"/>
    <w:rsid w:val="00D72C6E"/>
    <w:rsid w:val="00D72DDD"/>
    <w:rsid w:val="00D73153"/>
    <w:rsid w:val="00D7419B"/>
    <w:rsid w:val="00D742B5"/>
    <w:rsid w:val="00D7654E"/>
    <w:rsid w:val="00D766FD"/>
    <w:rsid w:val="00D80209"/>
    <w:rsid w:val="00D8047B"/>
    <w:rsid w:val="00D81445"/>
    <w:rsid w:val="00D82509"/>
    <w:rsid w:val="00D825EA"/>
    <w:rsid w:val="00D82A17"/>
    <w:rsid w:val="00D83995"/>
    <w:rsid w:val="00D83CC0"/>
    <w:rsid w:val="00D83D8F"/>
    <w:rsid w:val="00D84607"/>
    <w:rsid w:val="00D84901"/>
    <w:rsid w:val="00D86250"/>
    <w:rsid w:val="00D8651C"/>
    <w:rsid w:val="00D86879"/>
    <w:rsid w:val="00D87EFC"/>
    <w:rsid w:val="00D9163C"/>
    <w:rsid w:val="00D91654"/>
    <w:rsid w:val="00D93CB3"/>
    <w:rsid w:val="00D95665"/>
    <w:rsid w:val="00D959B4"/>
    <w:rsid w:val="00D96D6A"/>
    <w:rsid w:val="00D96F97"/>
    <w:rsid w:val="00D97421"/>
    <w:rsid w:val="00D97481"/>
    <w:rsid w:val="00D97C66"/>
    <w:rsid w:val="00DA10A4"/>
    <w:rsid w:val="00DA1B90"/>
    <w:rsid w:val="00DA42B5"/>
    <w:rsid w:val="00DA5B20"/>
    <w:rsid w:val="00DA70B4"/>
    <w:rsid w:val="00DA78F5"/>
    <w:rsid w:val="00DB0CC6"/>
    <w:rsid w:val="00DB278E"/>
    <w:rsid w:val="00DB32BF"/>
    <w:rsid w:val="00DB3ABE"/>
    <w:rsid w:val="00DB5B03"/>
    <w:rsid w:val="00DB6078"/>
    <w:rsid w:val="00DB63A4"/>
    <w:rsid w:val="00DB7354"/>
    <w:rsid w:val="00DB76D9"/>
    <w:rsid w:val="00DB7A60"/>
    <w:rsid w:val="00DB7C6D"/>
    <w:rsid w:val="00DC0B3B"/>
    <w:rsid w:val="00DC0E99"/>
    <w:rsid w:val="00DC146E"/>
    <w:rsid w:val="00DC162F"/>
    <w:rsid w:val="00DC2C7F"/>
    <w:rsid w:val="00DC2E09"/>
    <w:rsid w:val="00DC330A"/>
    <w:rsid w:val="00DC4A62"/>
    <w:rsid w:val="00DC6559"/>
    <w:rsid w:val="00DC6563"/>
    <w:rsid w:val="00DC6A5E"/>
    <w:rsid w:val="00DC7221"/>
    <w:rsid w:val="00DD0F62"/>
    <w:rsid w:val="00DD20B7"/>
    <w:rsid w:val="00DD233A"/>
    <w:rsid w:val="00DD254F"/>
    <w:rsid w:val="00DD2820"/>
    <w:rsid w:val="00DD2851"/>
    <w:rsid w:val="00DD54CA"/>
    <w:rsid w:val="00DD57EB"/>
    <w:rsid w:val="00DD5DE3"/>
    <w:rsid w:val="00DD5F50"/>
    <w:rsid w:val="00DD7206"/>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E788A"/>
    <w:rsid w:val="00DF0540"/>
    <w:rsid w:val="00DF1356"/>
    <w:rsid w:val="00DF172B"/>
    <w:rsid w:val="00DF2A45"/>
    <w:rsid w:val="00DF47C0"/>
    <w:rsid w:val="00DF505B"/>
    <w:rsid w:val="00DF570C"/>
    <w:rsid w:val="00DF631B"/>
    <w:rsid w:val="00DF78FB"/>
    <w:rsid w:val="00E005BB"/>
    <w:rsid w:val="00E006CC"/>
    <w:rsid w:val="00E00849"/>
    <w:rsid w:val="00E019D5"/>
    <w:rsid w:val="00E02095"/>
    <w:rsid w:val="00E05350"/>
    <w:rsid w:val="00E05851"/>
    <w:rsid w:val="00E05AD0"/>
    <w:rsid w:val="00E11F9C"/>
    <w:rsid w:val="00E125C6"/>
    <w:rsid w:val="00E14F90"/>
    <w:rsid w:val="00E162B6"/>
    <w:rsid w:val="00E1739F"/>
    <w:rsid w:val="00E1762B"/>
    <w:rsid w:val="00E179DC"/>
    <w:rsid w:val="00E20610"/>
    <w:rsid w:val="00E24AAC"/>
    <w:rsid w:val="00E258BC"/>
    <w:rsid w:val="00E25EE0"/>
    <w:rsid w:val="00E25FA3"/>
    <w:rsid w:val="00E30C19"/>
    <w:rsid w:val="00E3116D"/>
    <w:rsid w:val="00E31A50"/>
    <w:rsid w:val="00E32CC9"/>
    <w:rsid w:val="00E35E8A"/>
    <w:rsid w:val="00E368C9"/>
    <w:rsid w:val="00E37663"/>
    <w:rsid w:val="00E3787C"/>
    <w:rsid w:val="00E37E61"/>
    <w:rsid w:val="00E43E68"/>
    <w:rsid w:val="00E44556"/>
    <w:rsid w:val="00E44756"/>
    <w:rsid w:val="00E44D46"/>
    <w:rsid w:val="00E454E2"/>
    <w:rsid w:val="00E458FF"/>
    <w:rsid w:val="00E46472"/>
    <w:rsid w:val="00E46890"/>
    <w:rsid w:val="00E46E66"/>
    <w:rsid w:val="00E4787F"/>
    <w:rsid w:val="00E50592"/>
    <w:rsid w:val="00E50A96"/>
    <w:rsid w:val="00E50ECC"/>
    <w:rsid w:val="00E523AE"/>
    <w:rsid w:val="00E52E82"/>
    <w:rsid w:val="00E52F76"/>
    <w:rsid w:val="00E5366C"/>
    <w:rsid w:val="00E537FF"/>
    <w:rsid w:val="00E53878"/>
    <w:rsid w:val="00E54E3C"/>
    <w:rsid w:val="00E556FA"/>
    <w:rsid w:val="00E557C1"/>
    <w:rsid w:val="00E565FB"/>
    <w:rsid w:val="00E56885"/>
    <w:rsid w:val="00E56AC9"/>
    <w:rsid w:val="00E577BF"/>
    <w:rsid w:val="00E60DC6"/>
    <w:rsid w:val="00E61319"/>
    <w:rsid w:val="00E65DDE"/>
    <w:rsid w:val="00E669C4"/>
    <w:rsid w:val="00E66EAD"/>
    <w:rsid w:val="00E6740C"/>
    <w:rsid w:val="00E7027A"/>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81AA1"/>
    <w:rsid w:val="00E81FB1"/>
    <w:rsid w:val="00E821BF"/>
    <w:rsid w:val="00E82406"/>
    <w:rsid w:val="00E835E9"/>
    <w:rsid w:val="00E840AA"/>
    <w:rsid w:val="00E85252"/>
    <w:rsid w:val="00E85665"/>
    <w:rsid w:val="00E858C0"/>
    <w:rsid w:val="00E8692D"/>
    <w:rsid w:val="00E87299"/>
    <w:rsid w:val="00E901AD"/>
    <w:rsid w:val="00E909DF"/>
    <w:rsid w:val="00E90EE0"/>
    <w:rsid w:val="00E92112"/>
    <w:rsid w:val="00E92647"/>
    <w:rsid w:val="00E927CF"/>
    <w:rsid w:val="00E9374E"/>
    <w:rsid w:val="00E940B0"/>
    <w:rsid w:val="00E950BC"/>
    <w:rsid w:val="00E95510"/>
    <w:rsid w:val="00E95FC7"/>
    <w:rsid w:val="00E97D8C"/>
    <w:rsid w:val="00EA120A"/>
    <w:rsid w:val="00EA12CF"/>
    <w:rsid w:val="00EA1480"/>
    <w:rsid w:val="00EA2ABA"/>
    <w:rsid w:val="00EA2E7A"/>
    <w:rsid w:val="00EA3BAC"/>
    <w:rsid w:val="00EA4B05"/>
    <w:rsid w:val="00EA5046"/>
    <w:rsid w:val="00EA546C"/>
    <w:rsid w:val="00EA5653"/>
    <w:rsid w:val="00EA5B26"/>
    <w:rsid w:val="00EA5B42"/>
    <w:rsid w:val="00EA70FF"/>
    <w:rsid w:val="00EA7911"/>
    <w:rsid w:val="00EA7C36"/>
    <w:rsid w:val="00EB005A"/>
    <w:rsid w:val="00EB1EB7"/>
    <w:rsid w:val="00EB264B"/>
    <w:rsid w:val="00EB30C9"/>
    <w:rsid w:val="00EB31F4"/>
    <w:rsid w:val="00EB37BB"/>
    <w:rsid w:val="00EB4370"/>
    <w:rsid w:val="00EB5A71"/>
    <w:rsid w:val="00EB6D36"/>
    <w:rsid w:val="00EC26B0"/>
    <w:rsid w:val="00EC3897"/>
    <w:rsid w:val="00EC3E42"/>
    <w:rsid w:val="00EC3E4C"/>
    <w:rsid w:val="00EC4745"/>
    <w:rsid w:val="00EC4FED"/>
    <w:rsid w:val="00EC5A36"/>
    <w:rsid w:val="00EC6B24"/>
    <w:rsid w:val="00EC7073"/>
    <w:rsid w:val="00EC7600"/>
    <w:rsid w:val="00ED25ED"/>
    <w:rsid w:val="00ED3388"/>
    <w:rsid w:val="00ED440C"/>
    <w:rsid w:val="00ED6E35"/>
    <w:rsid w:val="00EE15CE"/>
    <w:rsid w:val="00EE1C69"/>
    <w:rsid w:val="00EE2BC4"/>
    <w:rsid w:val="00EE3379"/>
    <w:rsid w:val="00EE52D6"/>
    <w:rsid w:val="00EE5EC4"/>
    <w:rsid w:val="00EE6C9E"/>
    <w:rsid w:val="00EE77F7"/>
    <w:rsid w:val="00EE7DB4"/>
    <w:rsid w:val="00EF0435"/>
    <w:rsid w:val="00EF11AE"/>
    <w:rsid w:val="00EF1969"/>
    <w:rsid w:val="00EF2589"/>
    <w:rsid w:val="00EF25EC"/>
    <w:rsid w:val="00EF34B9"/>
    <w:rsid w:val="00EF383F"/>
    <w:rsid w:val="00EF3923"/>
    <w:rsid w:val="00EF4D92"/>
    <w:rsid w:val="00EF5378"/>
    <w:rsid w:val="00EF573C"/>
    <w:rsid w:val="00EF6541"/>
    <w:rsid w:val="00EF6550"/>
    <w:rsid w:val="00F02B7B"/>
    <w:rsid w:val="00F04175"/>
    <w:rsid w:val="00F0678A"/>
    <w:rsid w:val="00F074BF"/>
    <w:rsid w:val="00F077A8"/>
    <w:rsid w:val="00F07B5E"/>
    <w:rsid w:val="00F102CD"/>
    <w:rsid w:val="00F1048B"/>
    <w:rsid w:val="00F104FF"/>
    <w:rsid w:val="00F10951"/>
    <w:rsid w:val="00F10B61"/>
    <w:rsid w:val="00F116D1"/>
    <w:rsid w:val="00F132A8"/>
    <w:rsid w:val="00F1394D"/>
    <w:rsid w:val="00F142FD"/>
    <w:rsid w:val="00F15947"/>
    <w:rsid w:val="00F177C2"/>
    <w:rsid w:val="00F201B9"/>
    <w:rsid w:val="00F218B7"/>
    <w:rsid w:val="00F21A48"/>
    <w:rsid w:val="00F24E6F"/>
    <w:rsid w:val="00F250C0"/>
    <w:rsid w:val="00F25BBC"/>
    <w:rsid w:val="00F2625C"/>
    <w:rsid w:val="00F26294"/>
    <w:rsid w:val="00F31BDD"/>
    <w:rsid w:val="00F33550"/>
    <w:rsid w:val="00F338E7"/>
    <w:rsid w:val="00F33973"/>
    <w:rsid w:val="00F35303"/>
    <w:rsid w:val="00F35F68"/>
    <w:rsid w:val="00F373DB"/>
    <w:rsid w:val="00F3765A"/>
    <w:rsid w:val="00F40413"/>
    <w:rsid w:val="00F40E31"/>
    <w:rsid w:val="00F425D9"/>
    <w:rsid w:val="00F42E3D"/>
    <w:rsid w:val="00F43B23"/>
    <w:rsid w:val="00F478D4"/>
    <w:rsid w:val="00F5030C"/>
    <w:rsid w:val="00F52C95"/>
    <w:rsid w:val="00F5367B"/>
    <w:rsid w:val="00F5387B"/>
    <w:rsid w:val="00F5467E"/>
    <w:rsid w:val="00F54BA5"/>
    <w:rsid w:val="00F54BE0"/>
    <w:rsid w:val="00F54FF0"/>
    <w:rsid w:val="00F57CFE"/>
    <w:rsid w:val="00F60A49"/>
    <w:rsid w:val="00F60F45"/>
    <w:rsid w:val="00F63864"/>
    <w:rsid w:val="00F6407E"/>
    <w:rsid w:val="00F66D2D"/>
    <w:rsid w:val="00F71596"/>
    <w:rsid w:val="00F7399D"/>
    <w:rsid w:val="00F73E5E"/>
    <w:rsid w:val="00F74C40"/>
    <w:rsid w:val="00F76033"/>
    <w:rsid w:val="00F7618B"/>
    <w:rsid w:val="00F7699A"/>
    <w:rsid w:val="00F8252F"/>
    <w:rsid w:val="00F8391F"/>
    <w:rsid w:val="00F83B13"/>
    <w:rsid w:val="00F83FE3"/>
    <w:rsid w:val="00F84339"/>
    <w:rsid w:val="00F846A9"/>
    <w:rsid w:val="00F848A0"/>
    <w:rsid w:val="00F8554C"/>
    <w:rsid w:val="00F856E9"/>
    <w:rsid w:val="00F85DFE"/>
    <w:rsid w:val="00F85F2D"/>
    <w:rsid w:val="00F862D0"/>
    <w:rsid w:val="00F86355"/>
    <w:rsid w:val="00F869A4"/>
    <w:rsid w:val="00F86D4B"/>
    <w:rsid w:val="00F90909"/>
    <w:rsid w:val="00F90EFA"/>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41CF"/>
    <w:rsid w:val="00FA467D"/>
    <w:rsid w:val="00FA5AC2"/>
    <w:rsid w:val="00FA69A5"/>
    <w:rsid w:val="00FA6B86"/>
    <w:rsid w:val="00FA759D"/>
    <w:rsid w:val="00FB1633"/>
    <w:rsid w:val="00FB2C32"/>
    <w:rsid w:val="00FB37FF"/>
    <w:rsid w:val="00FB5436"/>
    <w:rsid w:val="00FB57A6"/>
    <w:rsid w:val="00FB5905"/>
    <w:rsid w:val="00FC0D89"/>
    <w:rsid w:val="00FC0FA3"/>
    <w:rsid w:val="00FC1E77"/>
    <w:rsid w:val="00FC41C1"/>
    <w:rsid w:val="00FC4360"/>
    <w:rsid w:val="00FC6328"/>
    <w:rsid w:val="00FC6FB3"/>
    <w:rsid w:val="00FD0B7B"/>
    <w:rsid w:val="00FD1787"/>
    <w:rsid w:val="00FD20F9"/>
    <w:rsid w:val="00FD2772"/>
    <w:rsid w:val="00FD31FF"/>
    <w:rsid w:val="00FD39C5"/>
    <w:rsid w:val="00FE00B5"/>
    <w:rsid w:val="00FE027F"/>
    <w:rsid w:val="00FE28F1"/>
    <w:rsid w:val="00FE2EE5"/>
    <w:rsid w:val="00FE32C0"/>
    <w:rsid w:val="00FE6F63"/>
    <w:rsid w:val="00FE71B9"/>
    <w:rsid w:val="00FE76F1"/>
    <w:rsid w:val="00FF01BC"/>
    <w:rsid w:val="00FF15AD"/>
    <w:rsid w:val="00FF1BB7"/>
    <w:rsid w:val="00FF2778"/>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E29F731-C737-4EA4-9798-6982407E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C616F5"/>
    <w:pPr>
      <w:keepNext/>
      <w:keepLines/>
      <w:widowControl/>
      <w:autoSpaceDE/>
      <w:autoSpaceDN/>
      <w:adjustRightInd/>
      <w:spacing w:before="480" w:line="276" w:lineRule="auto"/>
      <w:jc w:val="center"/>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6F5"/>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 w:type="table" w:customStyle="1" w:styleId="GridTable41">
    <w:name w:val="Grid Table 41"/>
    <w:basedOn w:val="TableNormal"/>
    <w:next w:val="GridTable4"/>
    <w:uiPriority w:val="49"/>
    <w:rsid w:val="00C616F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560404572">
      <w:bodyDiv w:val="1"/>
      <w:marLeft w:val="0"/>
      <w:marRight w:val="0"/>
      <w:marTop w:val="0"/>
      <w:marBottom w:val="0"/>
      <w:divBdr>
        <w:top w:val="none" w:sz="0" w:space="0" w:color="auto"/>
        <w:left w:val="none" w:sz="0" w:space="0" w:color="auto"/>
        <w:bottom w:val="none" w:sz="0" w:space="0" w:color="auto"/>
        <w:right w:val="none" w:sz="0" w:space="0" w:color="auto"/>
      </w:divBdr>
    </w:div>
    <w:div w:id="616571687">
      <w:bodyDiv w:val="1"/>
      <w:marLeft w:val="0"/>
      <w:marRight w:val="0"/>
      <w:marTop w:val="0"/>
      <w:marBottom w:val="0"/>
      <w:divBdr>
        <w:top w:val="none" w:sz="0" w:space="0" w:color="auto"/>
        <w:left w:val="none" w:sz="0" w:space="0" w:color="auto"/>
        <w:bottom w:val="none" w:sz="0" w:space="0" w:color="auto"/>
        <w:right w:val="none" w:sz="0" w:space="0" w:color="auto"/>
      </w:divBdr>
    </w:div>
    <w:div w:id="635064773">
      <w:bodyDiv w:val="1"/>
      <w:marLeft w:val="0"/>
      <w:marRight w:val="0"/>
      <w:marTop w:val="0"/>
      <w:marBottom w:val="0"/>
      <w:divBdr>
        <w:top w:val="none" w:sz="0" w:space="0" w:color="auto"/>
        <w:left w:val="none" w:sz="0" w:space="0" w:color="auto"/>
        <w:bottom w:val="none" w:sz="0" w:space="0" w:color="auto"/>
        <w:right w:val="none" w:sz="0" w:space="0" w:color="auto"/>
      </w:divBdr>
      <w:divsChild>
        <w:div w:id="883060139">
          <w:marLeft w:val="0"/>
          <w:marRight w:val="0"/>
          <w:marTop w:val="0"/>
          <w:marBottom w:val="0"/>
          <w:divBdr>
            <w:top w:val="none" w:sz="0" w:space="0" w:color="auto"/>
            <w:left w:val="none" w:sz="0" w:space="0" w:color="auto"/>
            <w:bottom w:val="none" w:sz="0" w:space="0" w:color="auto"/>
            <w:right w:val="none" w:sz="0" w:space="0" w:color="auto"/>
          </w:divBdr>
          <w:divsChild>
            <w:div w:id="1902716251">
              <w:marLeft w:val="0"/>
              <w:marRight w:val="0"/>
              <w:marTop w:val="0"/>
              <w:marBottom w:val="0"/>
              <w:divBdr>
                <w:top w:val="none" w:sz="0" w:space="0" w:color="auto"/>
                <w:left w:val="none" w:sz="0" w:space="0" w:color="auto"/>
                <w:bottom w:val="none" w:sz="0" w:space="0" w:color="auto"/>
                <w:right w:val="none" w:sz="0" w:space="0" w:color="auto"/>
              </w:divBdr>
              <w:divsChild>
                <w:div w:id="89813944">
                  <w:marLeft w:val="0"/>
                  <w:marRight w:val="0"/>
                  <w:marTop w:val="0"/>
                  <w:marBottom w:val="0"/>
                  <w:divBdr>
                    <w:top w:val="none" w:sz="0" w:space="0" w:color="auto"/>
                    <w:left w:val="none" w:sz="0" w:space="0" w:color="auto"/>
                    <w:bottom w:val="none" w:sz="0" w:space="0" w:color="auto"/>
                    <w:right w:val="none" w:sz="0" w:space="0" w:color="auto"/>
                  </w:divBdr>
                  <w:divsChild>
                    <w:div w:id="16150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5856">
          <w:marLeft w:val="0"/>
          <w:marRight w:val="0"/>
          <w:marTop w:val="0"/>
          <w:marBottom w:val="0"/>
          <w:divBdr>
            <w:top w:val="none" w:sz="0" w:space="0" w:color="auto"/>
            <w:left w:val="none" w:sz="0" w:space="0" w:color="auto"/>
            <w:bottom w:val="none" w:sz="0" w:space="0" w:color="auto"/>
            <w:right w:val="none" w:sz="0" w:space="0" w:color="auto"/>
          </w:divBdr>
          <w:divsChild>
            <w:div w:id="1168864149">
              <w:marLeft w:val="0"/>
              <w:marRight w:val="0"/>
              <w:marTop w:val="0"/>
              <w:marBottom w:val="0"/>
              <w:divBdr>
                <w:top w:val="none" w:sz="0" w:space="0" w:color="auto"/>
                <w:left w:val="none" w:sz="0" w:space="0" w:color="auto"/>
                <w:bottom w:val="none" w:sz="0" w:space="0" w:color="auto"/>
                <w:right w:val="none" w:sz="0" w:space="0" w:color="auto"/>
              </w:divBdr>
              <w:divsChild>
                <w:div w:id="1662929533">
                  <w:marLeft w:val="0"/>
                  <w:marRight w:val="0"/>
                  <w:marTop w:val="0"/>
                  <w:marBottom w:val="0"/>
                  <w:divBdr>
                    <w:top w:val="none" w:sz="0" w:space="0" w:color="auto"/>
                    <w:left w:val="none" w:sz="0" w:space="0" w:color="auto"/>
                    <w:bottom w:val="none" w:sz="0" w:space="0" w:color="auto"/>
                    <w:right w:val="none" w:sz="0" w:space="0" w:color="auto"/>
                  </w:divBdr>
                  <w:divsChild>
                    <w:div w:id="19052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8620">
      <w:bodyDiv w:val="1"/>
      <w:marLeft w:val="0"/>
      <w:marRight w:val="0"/>
      <w:marTop w:val="0"/>
      <w:marBottom w:val="0"/>
      <w:divBdr>
        <w:top w:val="none" w:sz="0" w:space="0" w:color="auto"/>
        <w:left w:val="none" w:sz="0" w:space="0" w:color="auto"/>
        <w:bottom w:val="none" w:sz="0" w:space="0" w:color="auto"/>
        <w:right w:val="none" w:sz="0" w:space="0" w:color="auto"/>
      </w:divBdr>
    </w:div>
    <w:div w:id="702437253">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867990896">
      <w:bodyDiv w:val="1"/>
      <w:marLeft w:val="0"/>
      <w:marRight w:val="0"/>
      <w:marTop w:val="0"/>
      <w:marBottom w:val="0"/>
      <w:divBdr>
        <w:top w:val="none" w:sz="0" w:space="0" w:color="auto"/>
        <w:left w:val="none" w:sz="0" w:space="0" w:color="auto"/>
        <w:bottom w:val="none" w:sz="0" w:space="0" w:color="auto"/>
        <w:right w:val="none" w:sz="0" w:space="0" w:color="auto"/>
      </w:divBdr>
    </w:div>
    <w:div w:id="900948052">
      <w:bodyDiv w:val="1"/>
      <w:marLeft w:val="0"/>
      <w:marRight w:val="0"/>
      <w:marTop w:val="0"/>
      <w:marBottom w:val="0"/>
      <w:divBdr>
        <w:top w:val="none" w:sz="0" w:space="0" w:color="auto"/>
        <w:left w:val="none" w:sz="0" w:space="0" w:color="auto"/>
        <w:bottom w:val="none" w:sz="0" w:space="0" w:color="auto"/>
        <w:right w:val="none" w:sz="0" w:space="0" w:color="auto"/>
      </w:divBdr>
    </w:div>
    <w:div w:id="953635484">
      <w:bodyDiv w:val="1"/>
      <w:marLeft w:val="0"/>
      <w:marRight w:val="0"/>
      <w:marTop w:val="0"/>
      <w:marBottom w:val="0"/>
      <w:divBdr>
        <w:top w:val="none" w:sz="0" w:space="0" w:color="auto"/>
        <w:left w:val="none" w:sz="0" w:space="0" w:color="auto"/>
        <w:bottom w:val="none" w:sz="0" w:space="0" w:color="auto"/>
        <w:right w:val="none" w:sz="0" w:space="0" w:color="auto"/>
      </w:divBdr>
    </w:div>
    <w:div w:id="95718107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968778262">
      <w:bodyDiv w:val="1"/>
      <w:marLeft w:val="0"/>
      <w:marRight w:val="0"/>
      <w:marTop w:val="0"/>
      <w:marBottom w:val="0"/>
      <w:divBdr>
        <w:top w:val="none" w:sz="0" w:space="0" w:color="auto"/>
        <w:left w:val="none" w:sz="0" w:space="0" w:color="auto"/>
        <w:bottom w:val="none" w:sz="0" w:space="0" w:color="auto"/>
        <w:right w:val="none" w:sz="0" w:space="0" w:color="auto"/>
      </w:divBdr>
    </w:div>
    <w:div w:id="114284364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75134682">
      <w:bodyDiv w:val="1"/>
      <w:marLeft w:val="0"/>
      <w:marRight w:val="0"/>
      <w:marTop w:val="0"/>
      <w:marBottom w:val="0"/>
      <w:divBdr>
        <w:top w:val="none" w:sz="0" w:space="0" w:color="auto"/>
        <w:left w:val="none" w:sz="0" w:space="0" w:color="auto"/>
        <w:bottom w:val="none" w:sz="0" w:space="0" w:color="auto"/>
        <w:right w:val="none" w:sz="0" w:space="0" w:color="auto"/>
      </w:divBdr>
    </w:div>
    <w:div w:id="1328900661">
      <w:bodyDiv w:val="1"/>
      <w:marLeft w:val="0"/>
      <w:marRight w:val="0"/>
      <w:marTop w:val="0"/>
      <w:marBottom w:val="0"/>
      <w:divBdr>
        <w:top w:val="none" w:sz="0" w:space="0" w:color="auto"/>
        <w:left w:val="none" w:sz="0" w:space="0" w:color="auto"/>
        <w:bottom w:val="none" w:sz="0" w:space="0" w:color="auto"/>
        <w:right w:val="none" w:sz="0" w:space="0" w:color="auto"/>
      </w:divBdr>
    </w:div>
    <w:div w:id="1353415399">
      <w:bodyDiv w:val="1"/>
      <w:marLeft w:val="0"/>
      <w:marRight w:val="0"/>
      <w:marTop w:val="0"/>
      <w:marBottom w:val="0"/>
      <w:divBdr>
        <w:top w:val="none" w:sz="0" w:space="0" w:color="auto"/>
        <w:left w:val="none" w:sz="0" w:space="0" w:color="auto"/>
        <w:bottom w:val="none" w:sz="0" w:space="0" w:color="auto"/>
        <w:right w:val="none" w:sz="0" w:space="0" w:color="auto"/>
      </w:divBdr>
    </w:div>
    <w:div w:id="1687055250">
      <w:bodyDiv w:val="1"/>
      <w:marLeft w:val="0"/>
      <w:marRight w:val="0"/>
      <w:marTop w:val="0"/>
      <w:marBottom w:val="0"/>
      <w:divBdr>
        <w:top w:val="none" w:sz="0" w:space="0" w:color="auto"/>
        <w:left w:val="none" w:sz="0" w:space="0" w:color="auto"/>
        <w:bottom w:val="none" w:sz="0" w:space="0" w:color="auto"/>
        <w:right w:val="none" w:sz="0" w:space="0" w:color="auto"/>
      </w:divBdr>
    </w:div>
    <w:div w:id="1763842082">
      <w:bodyDiv w:val="1"/>
      <w:marLeft w:val="0"/>
      <w:marRight w:val="0"/>
      <w:marTop w:val="0"/>
      <w:marBottom w:val="0"/>
      <w:divBdr>
        <w:top w:val="none" w:sz="0" w:space="0" w:color="auto"/>
        <w:left w:val="none" w:sz="0" w:space="0" w:color="auto"/>
        <w:bottom w:val="none" w:sz="0" w:space="0" w:color="auto"/>
        <w:right w:val="none" w:sz="0" w:space="0" w:color="auto"/>
      </w:divBdr>
    </w:div>
    <w:div w:id="1805387014">
      <w:bodyDiv w:val="1"/>
      <w:marLeft w:val="0"/>
      <w:marRight w:val="0"/>
      <w:marTop w:val="0"/>
      <w:marBottom w:val="0"/>
      <w:divBdr>
        <w:top w:val="none" w:sz="0" w:space="0" w:color="auto"/>
        <w:left w:val="none" w:sz="0" w:space="0" w:color="auto"/>
        <w:bottom w:val="none" w:sz="0" w:space="0" w:color="auto"/>
        <w:right w:val="none" w:sz="0" w:space="0" w:color="auto"/>
      </w:divBdr>
    </w:div>
    <w:div w:id="189878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3190</Words>
  <Characters>18455</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Tanner, Paul - OSHA</dc:creator>
  <cp:lastModifiedBy>Tanner, Paul - OSHA</cp:lastModifiedBy>
  <cp:revision>2</cp:revision>
  <dcterms:created xsi:type="dcterms:W3CDTF">2025-06-11T14:21:00Z</dcterms:created>
  <dcterms:modified xsi:type="dcterms:W3CDTF">2025-06-11T14:21:00Z</dcterms:modified>
</cp:coreProperties>
</file>